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3754" w14:textId="008D4D3B" w:rsidR="009D77A1" w:rsidRPr="00795BA4" w:rsidRDefault="00A77BBD">
      <w:pPr>
        <w:pStyle w:val="Nagwek1"/>
        <w:rPr>
          <w:sz w:val="28"/>
          <w:szCs w:val="28"/>
        </w:rPr>
      </w:pPr>
      <w:r w:rsidRPr="00795BA4">
        <w:rPr>
          <w:sz w:val="28"/>
          <w:szCs w:val="28"/>
        </w:rPr>
        <w:t>,,</w:t>
      </w:r>
      <w:r w:rsidR="00B13928" w:rsidRPr="00795BA4">
        <w:rPr>
          <w:sz w:val="28"/>
          <w:szCs w:val="28"/>
        </w:rPr>
        <w:t xml:space="preserve">NOVA </w:t>
      </w:r>
      <w:proofErr w:type="spellStart"/>
      <w:r w:rsidR="00B13928" w:rsidRPr="00795BA4">
        <w:rPr>
          <w:sz w:val="28"/>
          <w:szCs w:val="28"/>
        </w:rPr>
        <w:t>Krzyszkowicka</w:t>
      </w:r>
      <w:proofErr w:type="spellEnd"/>
      <w:r w:rsidR="00B13928" w:rsidRPr="00795BA4">
        <w:rPr>
          <w:sz w:val="28"/>
          <w:szCs w:val="28"/>
        </w:rPr>
        <w:t xml:space="preserve"> </w:t>
      </w:r>
      <w:r w:rsidRPr="00795BA4">
        <w:rPr>
          <w:sz w:val="28"/>
          <w:szCs w:val="28"/>
        </w:rPr>
        <w:t>‘’</w:t>
      </w:r>
    </w:p>
    <w:p w14:paraId="1A4B525C" w14:textId="179E2C7A" w:rsidR="00B569C0" w:rsidRDefault="00861F37">
      <w:pPr>
        <w:pStyle w:val="Nagwek1"/>
      </w:pPr>
      <w:r>
        <w:t xml:space="preserve">Stan na dzień sporządzenia prospektu informacyjnego </w:t>
      </w:r>
      <w:r w:rsidR="00A77BBD">
        <w:t xml:space="preserve">                                                </w:t>
      </w:r>
      <w:r w:rsidR="00F95A39">
        <w:t>11</w:t>
      </w:r>
      <w:r w:rsidR="00A77BBD">
        <w:t>-06-2025</w:t>
      </w:r>
    </w:p>
    <w:p w14:paraId="56A3543C" w14:textId="77777777" w:rsidR="00B569C0" w:rsidRDefault="00861F37">
      <w:pPr>
        <w:spacing w:after="370" w:line="238" w:lineRule="auto"/>
        <w:ind w:left="7081" w:right="1462"/>
      </w:pPr>
      <w:r>
        <w:rPr>
          <w:rFonts w:ascii="Times New Roman" w:eastAsia="Times New Roman" w:hAnsi="Times New Roman" w:cs="Times New Roman"/>
          <w:sz w:val="18"/>
        </w:rPr>
        <w:t xml:space="preserve">Data sporządzenia prospektu </w:t>
      </w:r>
    </w:p>
    <w:p w14:paraId="52E36035" w14:textId="77777777" w:rsidR="00B569C0" w:rsidRDefault="00861F37">
      <w:pPr>
        <w:pStyle w:val="Nagwek1"/>
        <w:spacing w:after="124"/>
        <w:ind w:left="1"/>
        <w:jc w:val="center"/>
      </w:pPr>
      <w:r>
        <w:t xml:space="preserve">PROSPEKT INFORMACYJNY </w:t>
      </w:r>
    </w:p>
    <w:p w14:paraId="77EEA5FF" w14:textId="77777777" w:rsidR="00B569C0" w:rsidRDefault="00861F37">
      <w:pPr>
        <w:spacing w:after="162" w:line="265" w:lineRule="auto"/>
        <w:ind w:left="-5" w:hanging="10"/>
      </w:pPr>
      <w:r>
        <w:rPr>
          <w:rFonts w:ascii="Times New Roman" w:eastAsia="Times New Roman" w:hAnsi="Times New Roman" w:cs="Times New Roman"/>
          <w:b/>
          <w:sz w:val="20"/>
        </w:rPr>
        <w:t xml:space="preserve">CZĘŚĆ OGÓLNA </w:t>
      </w:r>
    </w:p>
    <w:p w14:paraId="19631230" w14:textId="77777777" w:rsidR="00B569C0" w:rsidRDefault="00861F37">
      <w:pPr>
        <w:numPr>
          <w:ilvl w:val="0"/>
          <w:numId w:val="1"/>
        </w:numPr>
        <w:spacing w:after="0"/>
        <w:ind w:hanging="720"/>
      </w:pPr>
      <w:r>
        <w:rPr>
          <w:rFonts w:ascii="Times New Roman" w:eastAsia="Times New Roman" w:hAnsi="Times New Roman" w:cs="Times New Roman"/>
          <w:b/>
          <w:sz w:val="20"/>
        </w:rPr>
        <w:t>DANE IDENTYFIKACYJNE I KONTAKTOWE DOTYCZĄCE DEWELOPERA</w:t>
      </w:r>
    </w:p>
    <w:tbl>
      <w:tblPr>
        <w:tblStyle w:val="TableGrid"/>
        <w:tblW w:w="9647" w:type="dxa"/>
        <w:tblInd w:w="110" w:type="dxa"/>
        <w:tblCellMar>
          <w:top w:w="197" w:type="dxa"/>
          <w:left w:w="107" w:type="dxa"/>
          <w:bottom w:w="147" w:type="dxa"/>
          <w:right w:w="59" w:type="dxa"/>
        </w:tblCellMar>
        <w:tblLook w:val="04A0" w:firstRow="1" w:lastRow="0" w:firstColumn="1" w:lastColumn="0" w:noHBand="0" w:noVBand="1"/>
      </w:tblPr>
      <w:tblGrid>
        <w:gridCol w:w="2986"/>
        <w:gridCol w:w="3242"/>
        <w:gridCol w:w="3419"/>
      </w:tblGrid>
      <w:tr w:rsidR="00B569C0" w14:paraId="59D843FB" w14:textId="77777777">
        <w:trPr>
          <w:trHeight w:val="901"/>
        </w:trPr>
        <w:tc>
          <w:tcPr>
            <w:tcW w:w="2986" w:type="dxa"/>
            <w:tcBorders>
              <w:top w:val="single" w:sz="4" w:space="0" w:color="000000"/>
              <w:left w:val="single" w:sz="4" w:space="0" w:color="000000"/>
              <w:bottom w:val="single" w:sz="4" w:space="0" w:color="000000"/>
              <w:right w:val="nil"/>
            </w:tcBorders>
            <w:shd w:val="clear" w:color="auto" w:fill="E0E0E0"/>
          </w:tcPr>
          <w:p w14:paraId="08BD7A4E" w14:textId="77777777" w:rsidR="00B569C0" w:rsidRDefault="00861F37">
            <w:r>
              <w:rPr>
                <w:rFonts w:ascii="Times New Roman" w:eastAsia="Times New Roman" w:hAnsi="Times New Roman" w:cs="Times New Roman"/>
                <w:b/>
                <w:sz w:val="20"/>
              </w:rPr>
              <w:t xml:space="preserve">DANE DEWELOPERA </w:t>
            </w:r>
          </w:p>
        </w:tc>
        <w:tc>
          <w:tcPr>
            <w:tcW w:w="6661" w:type="dxa"/>
            <w:gridSpan w:val="2"/>
            <w:tcBorders>
              <w:top w:val="single" w:sz="4" w:space="0" w:color="000000"/>
              <w:left w:val="nil"/>
              <w:bottom w:val="single" w:sz="4" w:space="0" w:color="000000"/>
              <w:right w:val="single" w:sz="4" w:space="0" w:color="000000"/>
            </w:tcBorders>
            <w:shd w:val="clear" w:color="auto" w:fill="E0E0E0"/>
          </w:tcPr>
          <w:p w14:paraId="6809C505" w14:textId="77777777" w:rsidR="00B569C0" w:rsidRDefault="00B569C0"/>
        </w:tc>
      </w:tr>
      <w:tr w:rsidR="00B569C0" w14:paraId="5BF3356A" w14:textId="77777777">
        <w:trPr>
          <w:trHeight w:val="98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58B4D4FD" w14:textId="77777777" w:rsidR="00B569C0" w:rsidRDefault="00861F37">
            <w:r>
              <w:rPr>
                <w:rFonts w:ascii="Times New Roman" w:eastAsia="Times New Roman" w:hAnsi="Times New Roman" w:cs="Times New Roman"/>
                <w:sz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bottom"/>
          </w:tcPr>
          <w:p w14:paraId="090E04F2" w14:textId="77777777" w:rsidR="000A7D2F" w:rsidRPr="00F70D19" w:rsidRDefault="000A7D2F" w:rsidP="000A7D2F">
            <w:pPr>
              <w:pStyle w:val="TableParagraph"/>
              <w:spacing w:before="11"/>
              <w:jc w:val="center"/>
              <w:rPr>
                <w:b/>
                <w:sz w:val="31"/>
              </w:rPr>
            </w:pPr>
            <w:r w:rsidRPr="00F70D19">
              <w:rPr>
                <w:b/>
                <w:sz w:val="20"/>
                <w:szCs w:val="20"/>
              </w:rPr>
              <w:t>ADKON</w:t>
            </w:r>
            <w:r w:rsidRPr="00F70D19">
              <w:rPr>
                <w:sz w:val="20"/>
                <w:szCs w:val="20"/>
              </w:rPr>
              <w:t xml:space="preserve"> </w:t>
            </w:r>
            <w:r w:rsidRPr="00F70D19">
              <w:rPr>
                <w:b/>
                <w:sz w:val="20"/>
                <w:szCs w:val="20"/>
              </w:rPr>
              <w:t xml:space="preserve">spółka z ograniczoną odpowiedzialnością z siedzibą w Niepołomicach, </w:t>
            </w:r>
            <w:r w:rsidRPr="00F70D19">
              <w:rPr>
                <w:rFonts w:eastAsia="Arial"/>
                <w:b/>
                <w:sz w:val="20"/>
                <w:szCs w:val="20"/>
              </w:rPr>
              <w:t xml:space="preserve">KRS </w:t>
            </w:r>
            <w:r w:rsidRPr="00F70D19">
              <w:rPr>
                <w:b/>
                <w:sz w:val="20"/>
                <w:szCs w:val="20"/>
              </w:rPr>
              <w:t>0000607809</w:t>
            </w:r>
          </w:p>
          <w:p w14:paraId="2C5BE1D3" w14:textId="77777777" w:rsidR="00B569C0" w:rsidRDefault="00861F37">
            <w:pPr>
              <w:ind w:left="2"/>
              <w:jc w:val="both"/>
            </w:pPr>
            <w:r>
              <w:rPr>
                <w:rFonts w:ascii="Times New Roman" w:eastAsia="Times New Roman" w:hAnsi="Times New Roman" w:cs="Times New Roman"/>
                <w:sz w:val="20"/>
              </w:rPr>
              <w:t xml:space="preserve">Dane identyfikacyjne (firma, forma prawna, numer Krajowego Rejestru Sądowego lub numer wpisu do Centralnej Ewidencji i Działalności Gospodarczej) </w:t>
            </w:r>
          </w:p>
        </w:tc>
      </w:tr>
      <w:tr w:rsidR="00B569C0" w14:paraId="1F4566DC" w14:textId="77777777">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1C551494" w14:textId="77777777" w:rsidR="00B569C0" w:rsidRDefault="00861F37">
            <w:r>
              <w:rPr>
                <w:rFonts w:ascii="Times New Roman" w:eastAsia="Times New Roman" w:hAnsi="Times New Roman" w:cs="Times New Roman"/>
                <w:sz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bottom"/>
          </w:tcPr>
          <w:p w14:paraId="48BAF158" w14:textId="77777777" w:rsidR="00704F94" w:rsidRPr="00F70D19" w:rsidRDefault="00704F94" w:rsidP="00704F94">
            <w:pPr>
              <w:pStyle w:val="TableParagraph"/>
              <w:spacing w:before="5"/>
              <w:jc w:val="center"/>
              <w:rPr>
                <w:b/>
                <w:sz w:val="20"/>
                <w:szCs w:val="20"/>
              </w:rPr>
            </w:pPr>
            <w:r w:rsidRPr="00F70D19">
              <w:rPr>
                <w:b/>
                <w:sz w:val="20"/>
                <w:szCs w:val="20"/>
              </w:rPr>
              <w:t>32-005 Niepołomice, ul. Płaszowska nr 11</w:t>
            </w:r>
          </w:p>
          <w:p w14:paraId="070328EB" w14:textId="77777777" w:rsidR="00B569C0" w:rsidRDefault="00861F37">
            <w:pPr>
              <w:ind w:left="2" w:right="49"/>
              <w:jc w:val="both"/>
            </w:pPr>
            <w:r>
              <w:rPr>
                <w:rFonts w:ascii="Times New Roman" w:eastAsia="Times New Roman" w:hAnsi="Times New Roman" w:cs="Times New Roman"/>
                <w:sz w:val="20"/>
              </w:rPr>
              <w:t xml:space="preserve">Adres miejsca wykonywania działalności gospodarczej, adres siedziby i adres punktów, w których jest przedstawiana oferta lokali mieszkalnych albo domów jednorodzinnych </w:t>
            </w:r>
          </w:p>
        </w:tc>
      </w:tr>
      <w:tr w:rsidR="00B569C0" w14:paraId="1455C5D2" w14:textId="77777777">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87D532" w14:textId="77777777" w:rsidR="00B569C0" w:rsidRDefault="00861F37">
            <w:r>
              <w:rPr>
                <w:rFonts w:ascii="Times New Roman" w:eastAsia="Times New Roman" w:hAnsi="Times New Roman" w:cs="Times New Roman"/>
                <w:sz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2A0ABFC0" w14:textId="534138E8" w:rsidR="00B569C0" w:rsidRDefault="00EA37E8">
            <w:pPr>
              <w:ind w:left="2"/>
            </w:pPr>
            <w:r>
              <w:rPr>
                <w:sz w:val="20"/>
              </w:rPr>
              <w:t>NIP</w:t>
            </w:r>
            <w:r>
              <w:rPr>
                <w:spacing w:val="-3"/>
                <w:sz w:val="20"/>
              </w:rPr>
              <w:t xml:space="preserve"> </w:t>
            </w:r>
            <w:r w:rsidRPr="00F70D19">
              <w:rPr>
                <w:b/>
                <w:sz w:val="20"/>
                <w:szCs w:val="20"/>
              </w:rPr>
              <w:t>6832089077</w:t>
            </w:r>
          </w:p>
        </w:tc>
        <w:tc>
          <w:tcPr>
            <w:tcW w:w="3419" w:type="dxa"/>
            <w:tcBorders>
              <w:top w:val="single" w:sz="4" w:space="0" w:color="000000"/>
              <w:left w:val="single" w:sz="4" w:space="0" w:color="000000"/>
              <w:bottom w:val="single" w:sz="4" w:space="0" w:color="000000"/>
              <w:right w:val="single" w:sz="4" w:space="0" w:color="000000"/>
            </w:tcBorders>
            <w:vAlign w:val="center"/>
          </w:tcPr>
          <w:p w14:paraId="796AE165" w14:textId="0C719A26" w:rsidR="00B569C0" w:rsidRDefault="009A04B4">
            <w:pPr>
              <w:ind w:left="1"/>
            </w:pPr>
            <w:r>
              <w:rPr>
                <w:sz w:val="20"/>
              </w:rPr>
              <w:t xml:space="preserve">REGON </w:t>
            </w:r>
            <w:r w:rsidRPr="00F70D19">
              <w:rPr>
                <w:b/>
                <w:sz w:val="20"/>
                <w:szCs w:val="20"/>
              </w:rPr>
              <w:t>36378262</w:t>
            </w:r>
          </w:p>
        </w:tc>
      </w:tr>
      <w:tr w:rsidR="00B569C0" w14:paraId="0B0DE668" w14:textId="77777777">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92D2F2" w14:textId="77777777" w:rsidR="00B569C0" w:rsidRDefault="00861F37">
            <w:r>
              <w:rPr>
                <w:rFonts w:ascii="Times New Roman" w:eastAsia="Times New Roman" w:hAnsi="Times New Roman" w:cs="Times New Roman"/>
                <w:sz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tcPr>
          <w:p w14:paraId="50B35698" w14:textId="5EADD0DF" w:rsidR="00B569C0" w:rsidRDefault="00AA36FD">
            <w:r w:rsidRPr="00F70D19">
              <w:rPr>
                <w:b/>
                <w:sz w:val="20"/>
                <w:szCs w:val="20"/>
              </w:rPr>
              <w:t>+48 506 600 777</w:t>
            </w:r>
          </w:p>
        </w:tc>
      </w:tr>
      <w:tr w:rsidR="00B569C0" w14:paraId="344A02C4" w14:textId="77777777">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4CC773" w14:textId="77777777" w:rsidR="00B569C0" w:rsidRDefault="00861F37">
            <w:r>
              <w:rPr>
                <w:rFonts w:ascii="Times New Roman" w:eastAsia="Times New Roman" w:hAnsi="Times New Roman" w:cs="Times New Roman"/>
                <w:sz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tcPr>
          <w:p w14:paraId="2F8C4BF0" w14:textId="0825BA3F" w:rsidR="00B569C0" w:rsidRDefault="001A7A57">
            <w:r w:rsidRPr="00F70D19">
              <w:rPr>
                <w:b/>
                <w:sz w:val="20"/>
                <w:szCs w:val="20"/>
              </w:rPr>
              <w:t>biuro@adkon.com.pl</w:t>
            </w:r>
          </w:p>
        </w:tc>
      </w:tr>
      <w:tr w:rsidR="00B569C0" w14:paraId="7A268FD8" w14:textId="77777777">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58E51C" w14:textId="77777777" w:rsidR="00B569C0" w:rsidRDefault="00861F37">
            <w:r>
              <w:rPr>
                <w:rFonts w:ascii="Times New Roman" w:eastAsia="Times New Roman" w:hAnsi="Times New Roman" w:cs="Times New Roman"/>
                <w:sz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tcPr>
          <w:p w14:paraId="6B5A16B8" w14:textId="5C007207" w:rsidR="00B569C0" w:rsidRDefault="00D81E0A" w:rsidP="009F76DD">
            <w:pPr>
              <w:pStyle w:val="Bezodstpw"/>
            </w:pPr>
            <w:r>
              <w:t>-------------------------</w:t>
            </w:r>
          </w:p>
        </w:tc>
      </w:tr>
      <w:tr w:rsidR="00B569C0" w14:paraId="30A7B75A" w14:textId="77777777">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694D2D" w14:textId="77777777" w:rsidR="00B569C0" w:rsidRDefault="00861F37">
            <w:r>
              <w:rPr>
                <w:rFonts w:ascii="Times New Roman" w:eastAsia="Times New Roman" w:hAnsi="Times New Roman" w:cs="Times New Roman"/>
                <w:sz w:val="20"/>
              </w:rPr>
              <w:t xml:space="preserve">Adres strony 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p w14:paraId="46C28CFE" w14:textId="1B82F769" w:rsidR="00B569C0" w:rsidRPr="001055CE" w:rsidRDefault="001055CE">
            <w:pPr>
              <w:rPr>
                <w:b/>
                <w:bCs/>
              </w:rPr>
            </w:pPr>
            <w:r w:rsidRPr="001055CE">
              <w:rPr>
                <w:b/>
                <w:bCs/>
              </w:rPr>
              <w:t>www.adkon.com.pl</w:t>
            </w:r>
          </w:p>
        </w:tc>
      </w:tr>
    </w:tbl>
    <w:p w14:paraId="2D31D1B0" w14:textId="77777777" w:rsidR="00B569C0" w:rsidRDefault="00861F37">
      <w:pPr>
        <w:numPr>
          <w:ilvl w:val="0"/>
          <w:numId w:val="1"/>
        </w:numPr>
        <w:spacing w:after="312" w:line="265" w:lineRule="auto"/>
        <w:ind w:hanging="720"/>
      </w:pPr>
      <w:r>
        <w:rPr>
          <w:rFonts w:ascii="Times New Roman" w:eastAsia="Times New Roman" w:hAnsi="Times New Roman" w:cs="Times New Roman"/>
          <w:b/>
          <w:sz w:val="20"/>
        </w:rPr>
        <w:t>DOŚWIADCZENIE DEWELOPERA</w:t>
      </w:r>
    </w:p>
    <w:p w14:paraId="6B46062E" w14:textId="77777777" w:rsidR="00B569C0" w:rsidRDefault="00861F37">
      <w:pPr>
        <w:pBdr>
          <w:top w:val="single" w:sz="4" w:space="0" w:color="000000"/>
          <w:left w:val="single" w:sz="4" w:space="0" w:color="000000"/>
          <w:bottom w:val="single" w:sz="4" w:space="0" w:color="000000"/>
          <w:right w:val="single" w:sz="4" w:space="0" w:color="000000"/>
        </w:pBdr>
        <w:shd w:val="clear" w:color="auto" w:fill="E0E0E0"/>
        <w:spacing w:after="335"/>
        <w:ind w:left="217"/>
      </w:pPr>
      <w:r>
        <w:rPr>
          <w:rFonts w:ascii="Times New Roman" w:eastAsia="Times New Roman" w:hAnsi="Times New Roman" w:cs="Times New Roman"/>
          <w:b/>
          <w:sz w:val="20"/>
        </w:rPr>
        <w:t xml:space="preserve">HISTORIA I UDOKUMENTOWANE DOŚWIADCZENIE DEWELOPERA </w:t>
      </w:r>
    </w:p>
    <w:tbl>
      <w:tblPr>
        <w:tblStyle w:val="TableGrid"/>
        <w:tblW w:w="9647" w:type="dxa"/>
        <w:tblInd w:w="110" w:type="dxa"/>
        <w:tblCellMar>
          <w:left w:w="107" w:type="dxa"/>
          <w:right w:w="60" w:type="dxa"/>
        </w:tblCellMar>
        <w:tblLook w:val="04A0" w:firstRow="1" w:lastRow="0" w:firstColumn="1" w:lastColumn="0" w:noHBand="0" w:noVBand="1"/>
      </w:tblPr>
      <w:tblGrid>
        <w:gridCol w:w="2811"/>
        <w:gridCol w:w="6836"/>
      </w:tblGrid>
      <w:tr w:rsidR="00B569C0" w14:paraId="4A5CFBC2" w14:textId="77777777">
        <w:trPr>
          <w:trHeight w:val="757"/>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78680A38" w14:textId="77777777" w:rsidR="00B569C0" w:rsidRDefault="00861F37">
            <w:pPr>
              <w:jc w:val="both"/>
            </w:pPr>
            <w:r>
              <w:rPr>
                <w:rFonts w:ascii="Times New Roman" w:eastAsia="Times New Roman" w:hAnsi="Times New Roman" w:cs="Times New Roman"/>
                <w:b/>
                <w:sz w:val="20"/>
              </w:rPr>
              <w:t xml:space="preserve">PRZYKŁAD UKOŃCZONEGO PRZEDSIĘWZIĘCIA DEWELOPERSKIEGO (należy wskazać, o ile istnieją, trzy ukończone przedsięwzięcia deweloperskie, w tym ostatnie) </w:t>
            </w:r>
          </w:p>
        </w:tc>
      </w:tr>
      <w:tr w:rsidR="00B569C0" w14:paraId="7FD9092C" w14:textId="77777777">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330D3A" w14:textId="77777777" w:rsidR="00B569C0" w:rsidRDefault="00861F37">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tcPr>
          <w:p w14:paraId="7D8F5C68" w14:textId="13716B11" w:rsidR="00B569C0" w:rsidRDefault="00495B1D">
            <w:r w:rsidRPr="00F70D19">
              <w:rPr>
                <w:b/>
                <w:bCs/>
                <w:sz w:val="18"/>
              </w:rPr>
              <w:t>Grabówki 461- 466</w:t>
            </w:r>
          </w:p>
        </w:tc>
      </w:tr>
      <w:tr w:rsidR="00B569C0" w14:paraId="7C9282BF"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41E5E1" w14:textId="77777777" w:rsidR="00B569C0" w:rsidRDefault="00861F37">
            <w:r>
              <w:rPr>
                <w:rFonts w:ascii="Times New Roman" w:eastAsia="Times New Roman" w:hAnsi="Times New Roman" w:cs="Times New Roman"/>
                <w:sz w:val="20"/>
              </w:rPr>
              <w:lastRenderedPageBreak/>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14:paraId="2F1CBD2F" w14:textId="18339D09" w:rsidR="00B569C0" w:rsidRDefault="00274BE9">
            <w:r w:rsidRPr="00F70D19">
              <w:rPr>
                <w:b/>
                <w:bCs/>
                <w:sz w:val="18"/>
              </w:rPr>
              <w:t>15.09.2017</w:t>
            </w:r>
          </w:p>
        </w:tc>
      </w:tr>
      <w:tr w:rsidR="00B569C0" w14:paraId="485F02D4" w14:textId="77777777">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AECEF4" w14:textId="77777777" w:rsidR="00B569C0" w:rsidRDefault="00861F37">
            <w:pPr>
              <w:ind w:right="250"/>
            </w:pPr>
            <w:r>
              <w:rPr>
                <w:rFonts w:ascii="Times New Roman" w:eastAsia="Times New Roman" w:hAnsi="Times New Roman" w:cs="Times New Roman"/>
                <w:sz w:val="20"/>
              </w:rPr>
              <w:t>Data wydania decyzji o pozwoleniu na użytkowanie</w:t>
            </w:r>
          </w:p>
        </w:tc>
        <w:tc>
          <w:tcPr>
            <w:tcW w:w="6836" w:type="dxa"/>
            <w:tcBorders>
              <w:top w:val="single" w:sz="4" w:space="0" w:color="000000"/>
              <w:left w:val="single" w:sz="4" w:space="0" w:color="000000"/>
              <w:bottom w:val="single" w:sz="4" w:space="0" w:color="000000"/>
              <w:right w:val="single" w:sz="4" w:space="0" w:color="000000"/>
            </w:tcBorders>
          </w:tcPr>
          <w:p w14:paraId="1C4619F8" w14:textId="67FFF17D" w:rsidR="00B569C0" w:rsidRDefault="00E02C72">
            <w:r w:rsidRPr="005A3EC8">
              <w:rPr>
                <w:b/>
                <w:bCs/>
                <w:sz w:val="18"/>
              </w:rPr>
              <w:t>06.02.2019</w:t>
            </w:r>
          </w:p>
        </w:tc>
      </w:tr>
      <w:tr w:rsidR="00B569C0" w14:paraId="7F900499" w14:textId="77777777">
        <w:trPr>
          <w:trHeight w:val="979"/>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7FFC60A5" w14:textId="77777777" w:rsidR="00B569C0" w:rsidRDefault="00861F37">
            <w:pPr>
              <w:spacing w:after="124"/>
            </w:pPr>
            <w:r>
              <w:rPr>
                <w:rFonts w:ascii="Times New Roman" w:eastAsia="Times New Roman" w:hAnsi="Times New Roman" w:cs="Times New Roman"/>
                <w:b/>
                <w:sz w:val="20"/>
              </w:rPr>
              <w:t xml:space="preserve">PRZYKŁAD INNEGO UKOŃCZONEGO PRZEDSIĘWZIĘCIA DEWELOPERSKIEGO </w:t>
            </w:r>
          </w:p>
          <w:p w14:paraId="10148DC9" w14:textId="77777777" w:rsidR="00B569C0" w:rsidRDefault="00861F37">
            <w:r>
              <w:rPr>
                <w:rFonts w:ascii="Times New Roman" w:eastAsia="Times New Roman" w:hAnsi="Times New Roman" w:cs="Times New Roman"/>
                <w:b/>
                <w:sz w:val="20"/>
              </w:rPr>
              <w:t xml:space="preserve"> </w:t>
            </w:r>
          </w:p>
        </w:tc>
      </w:tr>
      <w:tr w:rsidR="00B569C0" w14:paraId="1B3E9A2C" w14:textId="77777777">
        <w:trPr>
          <w:trHeight w:val="670"/>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0D64B5" w14:textId="77777777" w:rsidR="00B569C0" w:rsidRDefault="00861F37">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43DD48CC" w14:textId="5852273B" w:rsidR="00B569C0" w:rsidRDefault="00861F37">
            <w:pPr>
              <w:ind w:left="2"/>
            </w:pPr>
            <w:r>
              <w:rPr>
                <w:rFonts w:ascii="Times New Roman" w:eastAsia="Times New Roman" w:hAnsi="Times New Roman" w:cs="Times New Roman"/>
                <w:sz w:val="20"/>
              </w:rPr>
              <w:t xml:space="preserve"> </w:t>
            </w:r>
            <w:r w:rsidR="00117985" w:rsidRPr="005A3EC8">
              <w:rPr>
                <w:b/>
                <w:bCs/>
                <w:sz w:val="18"/>
              </w:rPr>
              <w:t>Grabówki 409-409G</w:t>
            </w:r>
          </w:p>
        </w:tc>
      </w:tr>
      <w:tr w:rsidR="00B569C0" w14:paraId="2902F82D" w14:textId="77777777">
        <w:trPr>
          <w:trHeight w:val="735"/>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4BAD3837" w14:textId="77777777" w:rsidR="00B569C0" w:rsidRDefault="00861F37">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14:paraId="4F527297" w14:textId="41036484" w:rsidR="00B569C0" w:rsidRDefault="00861F37">
            <w:pPr>
              <w:ind w:left="2"/>
            </w:pPr>
            <w:r>
              <w:rPr>
                <w:rFonts w:ascii="Times New Roman" w:eastAsia="Times New Roman" w:hAnsi="Times New Roman" w:cs="Times New Roman"/>
                <w:sz w:val="20"/>
              </w:rPr>
              <w:t xml:space="preserve"> </w:t>
            </w:r>
            <w:r w:rsidR="00401677" w:rsidRPr="005A3EC8">
              <w:rPr>
                <w:b/>
                <w:bCs/>
                <w:sz w:val="18"/>
              </w:rPr>
              <w:t>12.04.2019</w:t>
            </w:r>
          </w:p>
        </w:tc>
      </w:tr>
      <w:tr w:rsidR="00B569C0" w14:paraId="161E37E0" w14:textId="77777777">
        <w:trPr>
          <w:trHeight w:val="8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F7B0B5" w14:textId="77777777" w:rsidR="00B569C0" w:rsidRDefault="00861F37">
            <w:pPr>
              <w:ind w:right="195"/>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46431234" w14:textId="6ACBAFEC" w:rsidR="00B569C0" w:rsidRDefault="00861F37">
            <w:pPr>
              <w:ind w:left="2"/>
            </w:pPr>
            <w:r>
              <w:rPr>
                <w:rFonts w:ascii="Times New Roman" w:eastAsia="Times New Roman" w:hAnsi="Times New Roman" w:cs="Times New Roman"/>
                <w:sz w:val="20"/>
              </w:rPr>
              <w:t xml:space="preserve"> </w:t>
            </w:r>
            <w:r w:rsidR="00D539B8" w:rsidRPr="005A3EC8">
              <w:rPr>
                <w:b/>
                <w:bCs/>
                <w:sz w:val="18"/>
              </w:rPr>
              <w:t>03.05.2021</w:t>
            </w:r>
          </w:p>
        </w:tc>
      </w:tr>
      <w:tr w:rsidR="00B569C0" w14:paraId="33C575FE" w14:textId="77777777">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20523DD4" w14:textId="77777777" w:rsidR="00B569C0" w:rsidRDefault="00861F37">
            <w:pPr>
              <w:spacing w:after="259"/>
            </w:pPr>
            <w:r>
              <w:rPr>
                <w:rFonts w:ascii="Times New Roman" w:eastAsia="Times New Roman" w:hAnsi="Times New Roman" w:cs="Times New Roman"/>
                <w:b/>
                <w:sz w:val="20"/>
              </w:rPr>
              <w:t xml:space="preserve">PRZYKŁAD OSTATNIEGO UKOŃCZONEGO PRZEDSIĘWZIĘCIA DEWELOPERSKIEGO </w:t>
            </w:r>
          </w:p>
          <w:p w14:paraId="0E1AC35D" w14:textId="77777777" w:rsidR="00B569C0" w:rsidRDefault="00861F37">
            <w:r>
              <w:rPr>
                <w:rFonts w:ascii="Times New Roman" w:eastAsia="Times New Roman" w:hAnsi="Times New Roman" w:cs="Times New Roman"/>
                <w:b/>
                <w:sz w:val="20"/>
              </w:rPr>
              <w:t xml:space="preserve"> </w:t>
            </w:r>
          </w:p>
        </w:tc>
      </w:tr>
      <w:tr w:rsidR="00B569C0" w14:paraId="4DC81B5A"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4C5562" w14:textId="77777777" w:rsidR="00B569C0" w:rsidRDefault="00861F37">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40746EB6" w14:textId="1D61C048" w:rsidR="00B569C0" w:rsidRDefault="00861F37">
            <w:pPr>
              <w:ind w:left="2"/>
            </w:pPr>
            <w:r>
              <w:rPr>
                <w:rFonts w:ascii="Times New Roman" w:eastAsia="Times New Roman" w:hAnsi="Times New Roman" w:cs="Times New Roman"/>
                <w:sz w:val="20"/>
              </w:rPr>
              <w:t xml:space="preserve"> </w:t>
            </w:r>
            <w:r w:rsidR="00D533FB">
              <w:rPr>
                <w:rFonts w:ascii="Times New Roman" w:eastAsia="Times New Roman" w:hAnsi="Times New Roman" w:cs="Times New Roman"/>
                <w:sz w:val="20"/>
              </w:rPr>
              <w:t xml:space="preserve">Grabówki </w:t>
            </w:r>
            <w:r w:rsidR="005539E1">
              <w:rPr>
                <w:rFonts w:ascii="Times New Roman" w:eastAsia="Times New Roman" w:hAnsi="Times New Roman" w:cs="Times New Roman"/>
                <w:sz w:val="20"/>
              </w:rPr>
              <w:t>410-410</w:t>
            </w:r>
            <w:r w:rsidR="004D0450">
              <w:rPr>
                <w:rFonts w:ascii="Times New Roman" w:eastAsia="Times New Roman" w:hAnsi="Times New Roman" w:cs="Times New Roman"/>
                <w:sz w:val="20"/>
              </w:rPr>
              <w:t>e</w:t>
            </w:r>
          </w:p>
        </w:tc>
      </w:tr>
      <w:tr w:rsidR="00B569C0" w14:paraId="2EA29FFC"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CE205E" w14:textId="77777777" w:rsidR="00B569C0" w:rsidRDefault="00861F37">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EBC735D" w14:textId="3E310287" w:rsidR="00B569C0" w:rsidRDefault="00861F37">
            <w:pPr>
              <w:ind w:left="2"/>
            </w:pPr>
            <w:r>
              <w:rPr>
                <w:rFonts w:ascii="Times New Roman" w:eastAsia="Times New Roman" w:hAnsi="Times New Roman" w:cs="Times New Roman"/>
                <w:sz w:val="20"/>
              </w:rPr>
              <w:t xml:space="preserve"> </w:t>
            </w:r>
            <w:r w:rsidR="00A300C6">
              <w:rPr>
                <w:rFonts w:ascii="Times New Roman" w:eastAsia="Times New Roman" w:hAnsi="Times New Roman" w:cs="Times New Roman"/>
                <w:sz w:val="20"/>
              </w:rPr>
              <w:t>23-0</w:t>
            </w:r>
            <w:r w:rsidR="00735CB6">
              <w:rPr>
                <w:rFonts w:ascii="Times New Roman" w:eastAsia="Times New Roman" w:hAnsi="Times New Roman" w:cs="Times New Roman"/>
                <w:sz w:val="20"/>
              </w:rPr>
              <w:t>8-2021</w:t>
            </w:r>
          </w:p>
        </w:tc>
      </w:tr>
      <w:tr w:rsidR="00B569C0" w14:paraId="1853484C" w14:textId="77777777">
        <w:trPr>
          <w:trHeight w:val="83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E06149" w14:textId="77777777" w:rsidR="00B569C0" w:rsidRDefault="00861F37">
            <w:pPr>
              <w:ind w:right="195"/>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4E010616" w14:textId="3D1CE568" w:rsidR="00B569C0" w:rsidRDefault="00861F37">
            <w:pPr>
              <w:ind w:left="2"/>
            </w:pPr>
            <w:r>
              <w:rPr>
                <w:rFonts w:ascii="Times New Roman" w:eastAsia="Times New Roman" w:hAnsi="Times New Roman" w:cs="Times New Roman"/>
                <w:sz w:val="20"/>
              </w:rPr>
              <w:t xml:space="preserve"> </w:t>
            </w:r>
            <w:r w:rsidR="008949E5">
              <w:rPr>
                <w:rFonts w:ascii="Times New Roman" w:eastAsia="Times New Roman" w:hAnsi="Times New Roman" w:cs="Times New Roman"/>
                <w:sz w:val="20"/>
              </w:rPr>
              <w:t>30-10-2023</w:t>
            </w:r>
          </w:p>
        </w:tc>
      </w:tr>
    </w:tbl>
    <w:p w14:paraId="4E0937F7" w14:textId="77777777" w:rsidR="00B569C0" w:rsidRDefault="00861F37">
      <w:pPr>
        <w:spacing w:after="0"/>
      </w:pPr>
      <w:r>
        <w:rPr>
          <w:rFonts w:ascii="Times New Roman" w:eastAsia="Times New Roman" w:hAnsi="Times New Roman" w:cs="Times New Roman"/>
          <w:sz w:val="16"/>
        </w:rPr>
        <w:t xml:space="preserve"> </w:t>
      </w:r>
    </w:p>
    <w:tbl>
      <w:tblPr>
        <w:tblStyle w:val="TableGrid"/>
        <w:tblW w:w="9648" w:type="dxa"/>
        <w:tblInd w:w="110" w:type="dxa"/>
        <w:tblCellMar>
          <w:top w:w="196" w:type="dxa"/>
          <w:left w:w="107" w:type="dxa"/>
          <w:right w:w="115" w:type="dxa"/>
        </w:tblCellMar>
        <w:tblLook w:val="04A0" w:firstRow="1" w:lastRow="0" w:firstColumn="1" w:lastColumn="0" w:noHBand="0" w:noVBand="1"/>
      </w:tblPr>
      <w:tblGrid>
        <w:gridCol w:w="2806"/>
        <w:gridCol w:w="6842"/>
      </w:tblGrid>
      <w:tr w:rsidR="00B569C0" w14:paraId="6374E3C4" w14:textId="77777777">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B4ECF3" w14:textId="77777777" w:rsidR="00B569C0" w:rsidRDefault="00861F37">
            <w:pPr>
              <w:ind w:right="195"/>
            </w:pPr>
            <w:r>
              <w:rPr>
                <w:rFonts w:ascii="Times New Roman" w:eastAsia="Times New Roman" w:hAnsi="Times New Roman" w:cs="Times New Roman"/>
                <w:sz w:val="20"/>
              </w:rPr>
              <w:t>Czy przeciwko deweloperowi prowadzono lub prowadzi się postępowania egzekucyjne na kwotę powyżej 100 000 zł</w:t>
            </w:r>
            <w:r>
              <w:rPr>
                <w:rFonts w:ascii="Times New Roman" w:eastAsia="Times New Roman" w:hAnsi="Times New Roman" w:cs="Times New Roman"/>
                <w:b/>
                <w:sz w:val="20"/>
              </w:rPr>
              <w:t xml:space="preserve"> </w:t>
            </w:r>
          </w:p>
        </w:tc>
        <w:tc>
          <w:tcPr>
            <w:tcW w:w="6842" w:type="dxa"/>
            <w:tcBorders>
              <w:top w:val="single" w:sz="4" w:space="0" w:color="000000"/>
              <w:left w:val="single" w:sz="4" w:space="0" w:color="000000"/>
              <w:bottom w:val="single" w:sz="4" w:space="0" w:color="000000"/>
              <w:right w:val="single" w:sz="4" w:space="0" w:color="000000"/>
            </w:tcBorders>
          </w:tcPr>
          <w:p w14:paraId="01F3078A" w14:textId="5431F694" w:rsidR="00B569C0" w:rsidRDefault="00861F37">
            <w:pPr>
              <w:ind w:left="2"/>
            </w:pPr>
            <w:r>
              <w:rPr>
                <w:rFonts w:ascii="Times New Roman" w:eastAsia="Times New Roman" w:hAnsi="Times New Roman" w:cs="Times New Roman"/>
                <w:b/>
                <w:sz w:val="20"/>
              </w:rPr>
              <w:t xml:space="preserve"> </w:t>
            </w:r>
            <w:r w:rsidR="008949E5">
              <w:rPr>
                <w:rFonts w:ascii="Times New Roman" w:eastAsia="Times New Roman" w:hAnsi="Times New Roman" w:cs="Times New Roman"/>
                <w:b/>
                <w:sz w:val="20"/>
              </w:rPr>
              <w:t>NIE</w:t>
            </w:r>
          </w:p>
        </w:tc>
      </w:tr>
    </w:tbl>
    <w:p w14:paraId="1652BD9C" w14:textId="77777777" w:rsidR="00B569C0" w:rsidRDefault="00861F37">
      <w:pPr>
        <w:numPr>
          <w:ilvl w:val="0"/>
          <w:numId w:val="1"/>
        </w:numPr>
        <w:spacing w:after="0"/>
        <w:ind w:hanging="720"/>
      </w:pPr>
      <w:r>
        <w:rPr>
          <w:rFonts w:ascii="Times New Roman" w:eastAsia="Times New Roman" w:hAnsi="Times New Roman" w:cs="Times New Roman"/>
          <w:b/>
          <w:sz w:val="20"/>
        </w:rPr>
        <w:t>INFORMACJE DOTYCZĄCE NIERUCHOMOŚCI I PRZEDSIĘWZIĘCIA DEWELOPERSKIEGO</w:t>
      </w:r>
      <w:r>
        <w:rPr>
          <w:rFonts w:ascii="Times New Roman" w:eastAsia="Times New Roman" w:hAnsi="Times New Roman" w:cs="Times New Roman"/>
          <w:sz w:val="20"/>
          <w:vertAlign w:val="superscript"/>
        </w:rPr>
        <w:t>43)</w:t>
      </w:r>
      <w:r>
        <w:rPr>
          <w:rFonts w:ascii="Times New Roman" w:eastAsia="Times New Roman" w:hAnsi="Times New Roman" w:cs="Times New Roman"/>
          <w:sz w:val="20"/>
        </w:rPr>
        <w:t xml:space="preserve"> </w:t>
      </w:r>
    </w:p>
    <w:tbl>
      <w:tblPr>
        <w:tblStyle w:val="TableGrid"/>
        <w:tblW w:w="9644" w:type="dxa"/>
        <w:tblInd w:w="6" w:type="dxa"/>
        <w:tblCellMar>
          <w:top w:w="53" w:type="dxa"/>
          <w:left w:w="107" w:type="dxa"/>
          <w:right w:w="80" w:type="dxa"/>
        </w:tblCellMar>
        <w:tblLook w:val="04A0" w:firstRow="1" w:lastRow="0" w:firstColumn="1" w:lastColumn="0" w:noHBand="0" w:noVBand="1"/>
      </w:tblPr>
      <w:tblGrid>
        <w:gridCol w:w="2970"/>
        <w:gridCol w:w="6674"/>
      </w:tblGrid>
      <w:tr w:rsidR="00B569C0" w14:paraId="73293B04" w14:textId="77777777">
        <w:trPr>
          <w:trHeight w:val="570"/>
        </w:trPr>
        <w:tc>
          <w:tcPr>
            <w:tcW w:w="964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7F40C742" w14:textId="77777777" w:rsidR="00B569C0" w:rsidRDefault="00861F37">
            <w:r>
              <w:rPr>
                <w:rFonts w:ascii="Times New Roman" w:eastAsia="Times New Roman" w:hAnsi="Times New Roman" w:cs="Times New Roman"/>
                <w:b/>
                <w:sz w:val="20"/>
              </w:rPr>
              <w:t xml:space="preserve">INFORMACJE DOTYCZĄCE GRUNTU I ZAGOSPODAROWANIA PRZESTRZENNEGO TERENU </w:t>
            </w:r>
          </w:p>
        </w:tc>
      </w:tr>
      <w:tr w:rsidR="00B569C0" w14:paraId="4523E14C" w14:textId="77777777">
        <w:trPr>
          <w:trHeight w:val="7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FC9F507" w14:textId="77777777" w:rsidR="00B569C0" w:rsidRDefault="00861F37">
            <w:pPr>
              <w:jc w:val="both"/>
            </w:pPr>
            <w:r>
              <w:rPr>
                <w:rFonts w:ascii="Times New Roman" w:eastAsia="Times New Roman" w:hAnsi="Times New Roman" w:cs="Times New Roman"/>
                <w:sz w:val="20"/>
              </w:rPr>
              <w:t>Adres, numer działki ewidencyjnej i numer obrębu ewidencyjnego</w:t>
            </w:r>
            <w:r>
              <w:rPr>
                <w:rFonts w:ascii="Times New Roman" w:eastAsia="Times New Roman" w:hAnsi="Times New Roman" w:cs="Times New Roman"/>
                <w:sz w:val="20"/>
                <w:vertAlign w:val="superscript"/>
              </w:rPr>
              <w:t>1)</w:t>
            </w:r>
            <w:r>
              <w:rPr>
                <w:rFonts w:ascii="Times New Roman" w:eastAsia="Times New Roman" w:hAnsi="Times New Roman" w:cs="Times New Roman"/>
                <w:sz w:val="20"/>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6D72B0D5" w14:textId="7F01DEDE" w:rsidR="007A744A" w:rsidRDefault="00861F37">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7A744A">
              <w:rPr>
                <w:rFonts w:ascii="Times New Roman" w:eastAsia="Times New Roman" w:hAnsi="Times New Roman" w:cs="Times New Roman"/>
                <w:sz w:val="20"/>
              </w:rPr>
              <w:t xml:space="preserve">             </w:t>
            </w:r>
            <w:r w:rsidR="00F26E94">
              <w:rPr>
                <w:rFonts w:ascii="Times New Roman" w:eastAsia="Times New Roman" w:hAnsi="Times New Roman" w:cs="Times New Roman"/>
                <w:sz w:val="20"/>
              </w:rPr>
              <w:t xml:space="preserve">Wieliczka ul Strzelców Wielickich </w:t>
            </w:r>
            <w:r w:rsidR="00974226">
              <w:rPr>
                <w:rFonts w:ascii="Times New Roman" w:eastAsia="Times New Roman" w:hAnsi="Times New Roman" w:cs="Times New Roman"/>
                <w:sz w:val="20"/>
              </w:rPr>
              <w:t xml:space="preserve"> </w:t>
            </w:r>
          </w:p>
          <w:p w14:paraId="51C9C8A9" w14:textId="738025AA" w:rsidR="00B569C0" w:rsidRDefault="007A744A">
            <w:pPr>
              <w:ind w:left="2"/>
            </w:pPr>
            <w:r>
              <w:rPr>
                <w:rFonts w:ascii="Times New Roman" w:eastAsia="Times New Roman" w:hAnsi="Times New Roman" w:cs="Times New Roman"/>
                <w:sz w:val="20"/>
              </w:rPr>
              <w:t xml:space="preserve">         </w:t>
            </w:r>
            <w:r w:rsidR="00974226">
              <w:rPr>
                <w:rFonts w:ascii="Times New Roman" w:eastAsia="Times New Roman" w:hAnsi="Times New Roman" w:cs="Times New Roman"/>
                <w:sz w:val="20"/>
              </w:rPr>
              <w:t>nr dz.</w:t>
            </w:r>
            <w:r w:rsidR="009863B3">
              <w:rPr>
                <w:rFonts w:ascii="Times New Roman" w:eastAsia="Times New Roman" w:hAnsi="Times New Roman" w:cs="Times New Roman"/>
                <w:sz w:val="20"/>
              </w:rPr>
              <w:t>435/2, 436,</w:t>
            </w:r>
            <w:r w:rsidR="0095481B">
              <w:rPr>
                <w:rFonts w:ascii="Times New Roman" w:eastAsia="Times New Roman" w:hAnsi="Times New Roman" w:cs="Times New Roman"/>
                <w:sz w:val="20"/>
              </w:rPr>
              <w:t xml:space="preserve"> </w:t>
            </w:r>
            <w:r w:rsidR="009863B3">
              <w:rPr>
                <w:rFonts w:ascii="Times New Roman" w:eastAsia="Times New Roman" w:hAnsi="Times New Roman" w:cs="Times New Roman"/>
                <w:sz w:val="20"/>
              </w:rPr>
              <w:t>434/1,</w:t>
            </w:r>
            <w:r w:rsidR="0095481B">
              <w:rPr>
                <w:rFonts w:ascii="Times New Roman" w:eastAsia="Times New Roman" w:hAnsi="Times New Roman" w:cs="Times New Roman"/>
                <w:sz w:val="20"/>
              </w:rPr>
              <w:t xml:space="preserve"> </w:t>
            </w:r>
            <w:r w:rsidR="009863B3">
              <w:rPr>
                <w:rFonts w:ascii="Times New Roman" w:eastAsia="Times New Roman" w:hAnsi="Times New Roman" w:cs="Times New Roman"/>
                <w:sz w:val="20"/>
              </w:rPr>
              <w:t>434/3</w:t>
            </w:r>
            <w:r w:rsidR="004D295B">
              <w:rPr>
                <w:rFonts w:ascii="Times New Roman" w:eastAsia="Times New Roman" w:hAnsi="Times New Roman" w:cs="Times New Roman"/>
                <w:sz w:val="20"/>
              </w:rPr>
              <w:t>,</w:t>
            </w:r>
            <w:r w:rsidR="0095481B">
              <w:rPr>
                <w:rFonts w:ascii="Times New Roman" w:eastAsia="Times New Roman" w:hAnsi="Times New Roman" w:cs="Times New Roman"/>
                <w:sz w:val="20"/>
              </w:rPr>
              <w:t xml:space="preserve"> </w:t>
            </w:r>
            <w:r w:rsidR="004D295B">
              <w:rPr>
                <w:rFonts w:ascii="Times New Roman" w:eastAsia="Times New Roman" w:hAnsi="Times New Roman" w:cs="Times New Roman"/>
                <w:sz w:val="20"/>
              </w:rPr>
              <w:t xml:space="preserve">435/3 </w:t>
            </w:r>
            <w:r>
              <w:rPr>
                <w:rFonts w:ascii="Times New Roman" w:eastAsia="Times New Roman" w:hAnsi="Times New Roman" w:cs="Times New Roman"/>
                <w:sz w:val="20"/>
              </w:rPr>
              <w:t xml:space="preserve"> obr</w:t>
            </w:r>
            <w:r w:rsidR="004D295B">
              <w:rPr>
                <w:rFonts w:ascii="Times New Roman" w:eastAsia="Times New Roman" w:hAnsi="Times New Roman" w:cs="Times New Roman"/>
                <w:sz w:val="20"/>
              </w:rPr>
              <w:t>.</w:t>
            </w:r>
            <w:r>
              <w:rPr>
                <w:rFonts w:ascii="Times New Roman" w:eastAsia="Times New Roman" w:hAnsi="Times New Roman" w:cs="Times New Roman"/>
                <w:sz w:val="20"/>
              </w:rPr>
              <w:t>3</w:t>
            </w:r>
          </w:p>
        </w:tc>
      </w:tr>
      <w:tr w:rsidR="00B569C0" w14:paraId="51E9B66B" w14:textId="77777777">
        <w:trPr>
          <w:trHeight w:val="55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C86FBA7" w14:textId="77777777" w:rsidR="00B569C0" w:rsidRDefault="00861F37">
            <w:r>
              <w:rPr>
                <w:rFonts w:ascii="Times New Roman" w:eastAsia="Times New Roman" w:hAnsi="Times New Roman" w:cs="Times New Roman"/>
                <w:sz w:val="20"/>
              </w:rPr>
              <w:t xml:space="preserve">Numer księgi wieczystej  </w:t>
            </w:r>
          </w:p>
        </w:tc>
        <w:tc>
          <w:tcPr>
            <w:tcW w:w="6674" w:type="dxa"/>
            <w:tcBorders>
              <w:top w:val="single" w:sz="4" w:space="0" w:color="000000"/>
              <w:left w:val="single" w:sz="4" w:space="0" w:color="000000"/>
              <w:bottom w:val="single" w:sz="4" w:space="0" w:color="000000"/>
              <w:right w:val="single" w:sz="4" w:space="0" w:color="000000"/>
            </w:tcBorders>
          </w:tcPr>
          <w:p w14:paraId="3170DD62" w14:textId="33AEC1AD" w:rsidR="00B569C0" w:rsidRPr="00D44F60" w:rsidRDefault="00A77702">
            <w:pPr>
              <w:ind w:left="2"/>
              <w:rPr>
                <w:color w:val="EE0000"/>
              </w:rPr>
            </w:pPr>
            <w:r>
              <w:rPr>
                <w:b/>
                <w:bCs/>
                <w:szCs w:val="22"/>
              </w:rPr>
              <w:t>KR1I/00009319/0</w:t>
            </w:r>
          </w:p>
        </w:tc>
      </w:tr>
      <w:tr w:rsidR="00B569C0" w14:paraId="0389EFF4" w14:textId="77777777">
        <w:trPr>
          <w:trHeight w:val="114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E07FB18" w14:textId="77777777" w:rsidR="00B569C0" w:rsidRDefault="00861F37">
            <w:pPr>
              <w:spacing w:after="18" w:line="294" w:lineRule="auto"/>
              <w:ind w:right="196"/>
            </w:pPr>
            <w:r>
              <w:rPr>
                <w:rFonts w:ascii="Times New Roman" w:eastAsia="Times New Roman" w:hAnsi="Times New Roman" w:cs="Times New Roman"/>
                <w:sz w:val="20"/>
              </w:rPr>
              <w:t xml:space="preserve">Istniejące obciążenia hipoteczne nieruchomości lub wnioski  o wpis w dziale czwartym  </w:t>
            </w:r>
          </w:p>
          <w:p w14:paraId="6338817D" w14:textId="77777777" w:rsidR="00B569C0" w:rsidRDefault="00861F37">
            <w:r>
              <w:rPr>
                <w:rFonts w:ascii="Times New Roman" w:eastAsia="Times New Roman" w:hAnsi="Times New Roman" w:cs="Times New Roman"/>
                <w:sz w:val="20"/>
              </w:rPr>
              <w:t xml:space="preserve">księgi wieczystej </w:t>
            </w:r>
          </w:p>
        </w:tc>
        <w:tc>
          <w:tcPr>
            <w:tcW w:w="6674" w:type="dxa"/>
            <w:tcBorders>
              <w:top w:val="single" w:sz="4" w:space="0" w:color="000000"/>
              <w:left w:val="single" w:sz="4" w:space="0" w:color="000000"/>
              <w:bottom w:val="single" w:sz="4" w:space="0" w:color="000000"/>
              <w:right w:val="single" w:sz="4" w:space="0" w:color="000000"/>
            </w:tcBorders>
          </w:tcPr>
          <w:p w14:paraId="1D074AE6" w14:textId="77777777" w:rsidR="00F84863" w:rsidRDefault="00861F37">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9CC73FA" w14:textId="61877258" w:rsidR="00B569C0" w:rsidRDefault="00F84863">
            <w:pPr>
              <w:ind w:left="2"/>
            </w:pPr>
            <w:r>
              <w:rPr>
                <w:rFonts w:ascii="Times New Roman" w:eastAsia="Times New Roman" w:hAnsi="Times New Roman" w:cs="Times New Roman"/>
                <w:sz w:val="20"/>
              </w:rPr>
              <w:t xml:space="preserve">            </w:t>
            </w:r>
            <w:r w:rsidR="004B0B17">
              <w:rPr>
                <w:rFonts w:ascii="Times New Roman" w:eastAsia="Times New Roman" w:hAnsi="Times New Roman" w:cs="Times New Roman"/>
                <w:sz w:val="20"/>
              </w:rPr>
              <w:t>Brak</w:t>
            </w:r>
          </w:p>
        </w:tc>
      </w:tr>
    </w:tbl>
    <w:p w14:paraId="5DC7049C" w14:textId="77777777" w:rsidR="00B569C0" w:rsidRDefault="00861F37">
      <w:pPr>
        <w:spacing w:after="0"/>
      </w:pPr>
      <w:r>
        <w:rPr>
          <w:rFonts w:ascii="Times New Roman" w:eastAsia="Times New Roman" w:hAnsi="Times New Roman" w:cs="Times New Roman"/>
          <w:sz w:val="20"/>
        </w:rPr>
        <w:t xml:space="preserve"> </w:t>
      </w:r>
    </w:p>
    <w:p w14:paraId="3708AB84" w14:textId="77777777" w:rsidR="00B569C0" w:rsidRDefault="00861F37">
      <w:pPr>
        <w:spacing w:after="0"/>
      </w:pPr>
      <w:r>
        <w:rPr>
          <w:rFonts w:ascii="Times New Roman" w:eastAsia="Times New Roman" w:hAnsi="Times New Roman" w:cs="Times New Roman"/>
          <w:sz w:val="20"/>
        </w:rPr>
        <w:t xml:space="preserve"> </w:t>
      </w:r>
    </w:p>
    <w:p w14:paraId="62A8AE6F" w14:textId="77777777" w:rsidR="00B569C0" w:rsidRDefault="00861F37">
      <w:pPr>
        <w:spacing w:after="2"/>
      </w:pPr>
      <w:r>
        <w:rPr>
          <w:rFonts w:ascii="Times New Roman" w:eastAsia="Times New Roman" w:hAnsi="Times New Roman" w:cs="Times New Roman"/>
          <w:sz w:val="20"/>
        </w:rPr>
        <w:t xml:space="preserve"> </w:t>
      </w:r>
    </w:p>
    <w:p w14:paraId="7C38BD19" w14:textId="77777777" w:rsidR="00B569C0" w:rsidRDefault="00861F37">
      <w:pPr>
        <w:tabs>
          <w:tab w:val="center" w:pos="2874"/>
        </w:tabs>
        <w:spacing w:after="52" w:line="262" w:lineRule="auto"/>
      </w:pPr>
      <w:r>
        <w:rPr>
          <w:rFonts w:ascii="Times New Roman" w:eastAsia="Times New Roman" w:hAnsi="Times New Roman" w:cs="Times New Roman"/>
          <w:sz w:val="18"/>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Jeżeli działka nie posiada adresu, należy opisowo określić jej położenie. </w:t>
      </w:r>
    </w:p>
    <w:p w14:paraId="27BB740D" w14:textId="77777777" w:rsidR="00B569C0" w:rsidRDefault="00861F37">
      <w:pPr>
        <w:spacing w:after="406"/>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p>
    <w:p w14:paraId="5D5FD5E3" w14:textId="77777777" w:rsidR="00B569C0" w:rsidRDefault="00861F37">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409D4406" w14:textId="77777777" w:rsidR="00B569C0" w:rsidRDefault="00861F37">
      <w:pPr>
        <w:spacing w:after="30" w:line="262" w:lineRule="auto"/>
        <w:ind w:left="280" w:hanging="280"/>
        <w:jc w:val="both"/>
      </w:pPr>
      <w:r>
        <w:rPr>
          <w:rFonts w:ascii="Times New Roman" w:eastAsia="Times New Roman" w:hAnsi="Times New Roman" w:cs="Times New Roman"/>
          <w:sz w:val="18"/>
          <w:vertAlign w:val="superscript"/>
        </w:rPr>
        <w:t>43)</w:t>
      </w:r>
      <w:r>
        <w:rPr>
          <w:rFonts w:ascii="Times New Roman" w:eastAsia="Times New Roman" w:hAnsi="Times New Roman" w:cs="Times New Roman"/>
          <w:sz w:val="18"/>
        </w:rPr>
        <w:t xml:space="preserve"> Część III w brzmieniu ustalonym w załączniku do ustawy z dnia 7 lipca 2023 r. o zmianie ustawy o planowaniu i zagospodarowaniu przestrzennym oraz niektórych innych ustaw (Dz. U. poz. 1688), na podstawie art. 49 tej ustawy, która weszła w życie z dniem </w:t>
      </w:r>
    </w:p>
    <w:p w14:paraId="6C477CDC" w14:textId="77777777" w:rsidR="00B569C0" w:rsidRDefault="00861F37">
      <w:pPr>
        <w:spacing w:after="0" w:line="262" w:lineRule="auto"/>
        <w:ind w:left="275" w:hanging="10"/>
        <w:jc w:val="both"/>
      </w:pPr>
      <w:r>
        <w:rPr>
          <w:rFonts w:ascii="Times New Roman" w:eastAsia="Times New Roman" w:hAnsi="Times New Roman" w:cs="Times New Roman"/>
          <w:sz w:val="18"/>
        </w:rPr>
        <w:t xml:space="preserve">24 września 2023 r. </w:t>
      </w:r>
    </w:p>
    <w:p w14:paraId="0D8DE63B" w14:textId="77777777" w:rsidR="00B569C0" w:rsidRDefault="00861F37">
      <w:pPr>
        <w:spacing w:after="0"/>
      </w:pPr>
      <w:r>
        <w:rPr>
          <w:rFonts w:ascii="Times New Roman" w:eastAsia="Times New Roman" w:hAnsi="Times New Roman" w:cs="Times New Roman"/>
          <w:sz w:val="18"/>
        </w:rPr>
        <w:t xml:space="preserve"> </w:t>
      </w:r>
    </w:p>
    <w:tbl>
      <w:tblPr>
        <w:tblStyle w:val="TableGrid"/>
        <w:tblW w:w="9646" w:type="dxa"/>
        <w:tblInd w:w="6" w:type="dxa"/>
        <w:tblCellMar>
          <w:top w:w="52" w:type="dxa"/>
          <w:left w:w="107" w:type="dxa"/>
          <w:right w:w="64" w:type="dxa"/>
        </w:tblCellMar>
        <w:tblLook w:val="04A0" w:firstRow="1" w:lastRow="0" w:firstColumn="1" w:lastColumn="0" w:noHBand="0" w:noVBand="1"/>
      </w:tblPr>
      <w:tblGrid>
        <w:gridCol w:w="2971"/>
        <w:gridCol w:w="3256"/>
        <w:gridCol w:w="3419"/>
      </w:tblGrid>
      <w:tr w:rsidR="00B569C0" w14:paraId="4F9B4F52" w14:textId="77777777">
        <w:trPr>
          <w:trHeight w:val="114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17C624E7" w14:textId="77777777" w:rsidR="00B569C0" w:rsidRDefault="00861F37">
            <w:pPr>
              <w:ind w:right="444"/>
            </w:pPr>
            <w:r>
              <w:rPr>
                <w:rFonts w:ascii="Times New Roman" w:eastAsia="Times New Roman" w:hAnsi="Times New Roman" w:cs="Times New Roman"/>
                <w:sz w:val="20"/>
              </w:rPr>
              <w:t>W przypadku braku księgi wieczystej informacja o powierzchni działki i stanie prawnym nieruchomości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tc>
        <w:tc>
          <w:tcPr>
            <w:tcW w:w="6675" w:type="dxa"/>
            <w:gridSpan w:val="2"/>
            <w:tcBorders>
              <w:top w:val="single" w:sz="4" w:space="0" w:color="000000"/>
              <w:left w:val="single" w:sz="4" w:space="0" w:color="000000"/>
              <w:bottom w:val="single" w:sz="4" w:space="0" w:color="000000"/>
              <w:right w:val="single" w:sz="4" w:space="0" w:color="000000"/>
            </w:tcBorders>
          </w:tcPr>
          <w:p w14:paraId="264EE8FC" w14:textId="77777777" w:rsidR="00F84863" w:rsidRDefault="00861F37">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7825FA0" w14:textId="5E4C01EC" w:rsidR="00B569C0" w:rsidRDefault="00F84863">
            <w:pPr>
              <w:ind w:left="2"/>
            </w:pPr>
            <w:r>
              <w:rPr>
                <w:rFonts w:ascii="Times New Roman" w:eastAsia="Times New Roman" w:hAnsi="Times New Roman" w:cs="Times New Roman"/>
                <w:sz w:val="20"/>
              </w:rPr>
              <w:t xml:space="preserve">        </w:t>
            </w:r>
            <w:r w:rsidR="00AE4162">
              <w:t>Nie dotyczy</w:t>
            </w:r>
          </w:p>
        </w:tc>
      </w:tr>
      <w:tr w:rsidR="00B569C0" w14:paraId="3153F1BE" w14:textId="77777777">
        <w:trPr>
          <w:trHeight w:val="114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143EE099" w14:textId="77777777" w:rsidR="00B569C0" w:rsidRDefault="00861F37">
            <w:pPr>
              <w:ind w:right="111"/>
              <w:jc w:val="both"/>
            </w:pPr>
            <w:r>
              <w:rPr>
                <w:rFonts w:ascii="Times New Roman" w:eastAsia="Times New Roman" w:hAnsi="Times New Roman" w:cs="Times New Roman"/>
                <w:sz w:val="20"/>
              </w:rPr>
              <w:t>Informacje dotyczące obiektów istniejących położonych w sąsiedztwie inwestycji i wpływających na warunki życia</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75" w:type="dxa"/>
            <w:gridSpan w:val="2"/>
            <w:tcBorders>
              <w:top w:val="single" w:sz="4" w:space="0" w:color="000000"/>
              <w:left w:val="single" w:sz="4" w:space="0" w:color="000000"/>
              <w:bottom w:val="single" w:sz="4" w:space="0" w:color="000000"/>
              <w:right w:val="single" w:sz="4" w:space="0" w:color="000000"/>
            </w:tcBorders>
          </w:tcPr>
          <w:p w14:paraId="28D29E56" w14:textId="55E788B3" w:rsidR="00916270" w:rsidRDefault="000937A4">
            <w:pPr>
              <w:ind w:left="2"/>
              <w:rPr>
                <w:rFonts w:ascii="Times New Roman" w:eastAsia="Times New Roman" w:hAnsi="Times New Roman" w:cs="Times New Roman"/>
                <w:sz w:val="20"/>
              </w:rPr>
            </w:pPr>
            <w:r>
              <w:rPr>
                <w:rFonts w:ascii="Times New Roman" w:eastAsia="Times New Roman" w:hAnsi="Times New Roman" w:cs="Times New Roman"/>
                <w:sz w:val="20"/>
              </w:rPr>
              <w:t>Transformator odległość 260 m, Szkoła Podstawowa odległość 200 m,</w:t>
            </w:r>
          </w:p>
          <w:p w14:paraId="395F3725" w14:textId="1C895D0E" w:rsidR="000937A4" w:rsidRDefault="000937A4">
            <w:pPr>
              <w:ind w:left="2"/>
              <w:rPr>
                <w:rFonts w:ascii="Times New Roman" w:eastAsia="Times New Roman" w:hAnsi="Times New Roman" w:cs="Times New Roman"/>
                <w:sz w:val="20"/>
              </w:rPr>
            </w:pPr>
          </w:p>
          <w:p w14:paraId="548A7033" w14:textId="6E09BAA0" w:rsidR="00916270" w:rsidRDefault="000937A4">
            <w:pPr>
              <w:ind w:left="2"/>
              <w:rPr>
                <w:rFonts w:ascii="Times New Roman" w:eastAsia="Times New Roman" w:hAnsi="Times New Roman" w:cs="Times New Roman"/>
                <w:sz w:val="20"/>
              </w:rPr>
            </w:pPr>
            <w:r>
              <w:rPr>
                <w:rFonts w:ascii="Times New Roman" w:eastAsia="Times New Roman" w:hAnsi="Times New Roman" w:cs="Times New Roman"/>
                <w:sz w:val="20"/>
              </w:rPr>
              <w:t>Kościół 200 m.</w:t>
            </w:r>
          </w:p>
          <w:p w14:paraId="4B3AFEF6" w14:textId="14D35771" w:rsidR="00B569C0" w:rsidRDefault="00B569C0">
            <w:pPr>
              <w:ind w:left="2"/>
            </w:pPr>
          </w:p>
        </w:tc>
      </w:tr>
      <w:tr w:rsidR="00B569C0" w14:paraId="73C5A282" w14:textId="77777777" w:rsidTr="00AE4162">
        <w:trPr>
          <w:trHeight w:val="548"/>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C6DDFB6" w14:textId="77777777" w:rsidR="00B569C0" w:rsidRDefault="00861F37">
            <w:pPr>
              <w:ind w:right="62"/>
            </w:pPr>
            <w:r>
              <w:rPr>
                <w:rFonts w:ascii="Times New Roman" w:eastAsia="Times New Roman" w:hAnsi="Times New Roman" w:cs="Times New Roman"/>
                <w:sz w:val="20"/>
              </w:rPr>
              <w:t xml:space="preserve">Akty planowania przestrzennego i inne akty prawne na terenie objętym przedsięwzięciem deweloperskim lub zadaniem inwestycyjnym </w:t>
            </w:r>
          </w:p>
        </w:tc>
        <w:tc>
          <w:tcPr>
            <w:tcW w:w="3256" w:type="dxa"/>
            <w:tcBorders>
              <w:top w:val="single" w:sz="4" w:space="0" w:color="000000"/>
              <w:left w:val="single" w:sz="4" w:space="0" w:color="000000"/>
              <w:bottom w:val="single" w:sz="4" w:space="0" w:color="000000"/>
              <w:right w:val="single" w:sz="4" w:space="0" w:color="000000"/>
            </w:tcBorders>
          </w:tcPr>
          <w:p w14:paraId="1E2C3338" w14:textId="77777777" w:rsidR="00B569C0" w:rsidRDefault="00861F37">
            <w:pPr>
              <w:ind w:left="2"/>
            </w:pPr>
            <w:r>
              <w:rPr>
                <w:rFonts w:ascii="Times New Roman" w:eastAsia="Times New Roman" w:hAnsi="Times New Roman" w:cs="Times New Roman"/>
                <w:sz w:val="20"/>
              </w:rPr>
              <w:t xml:space="preserve">Plan ogólny gminy </w:t>
            </w:r>
          </w:p>
        </w:tc>
        <w:tc>
          <w:tcPr>
            <w:tcW w:w="3419" w:type="dxa"/>
            <w:vMerge w:val="restart"/>
            <w:tcBorders>
              <w:top w:val="single" w:sz="4" w:space="0" w:color="000000"/>
              <w:left w:val="single" w:sz="4" w:space="0" w:color="000000"/>
              <w:bottom w:val="single" w:sz="4" w:space="0" w:color="000000"/>
              <w:right w:val="single" w:sz="4" w:space="0" w:color="000000"/>
            </w:tcBorders>
          </w:tcPr>
          <w:p w14:paraId="11A73482" w14:textId="77777777" w:rsidR="00AE4162" w:rsidRDefault="00AE4162" w:rsidP="00CA4429">
            <w:pPr>
              <w:rPr>
                <w:rFonts w:ascii="Times New Roman" w:eastAsia="Times New Roman" w:hAnsi="Times New Roman" w:cs="Times New Roman"/>
                <w:sz w:val="20"/>
              </w:rPr>
            </w:pPr>
            <w:r>
              <w:t>Nie dotyczy</w:t>
            </w:r>
            <w:r>
              <w:rPr>
                <w:rFonts w:ascii="Times New Roman" w:eastAsia="Times New Roman" w:hAnsi="Times New Roman" w:cs="Times New Roman"/>
                <w:sz w:val="20"/>
              </w:rPr>
              <w:t xml:space="preserve"> </w:t>
            </w:r>
          </w:p>
          <w:p w14:paraId="4DA2C461" w14:textId="77777777" w:rsidR="00AE4162" w:rsidRDefault="00AE4162" w:rsidP="00CA4429">
            <w:pPr>
              <w:rPr>
                <w:rFonts w:ascii="Times New Roman" w:eastAsia="Times New Roman" w:hAnsi="Times New Roman" w:cs="Times New Roman"/>
                <w:sz w:val="20"/>
              </w:rPr>
            </w:pPr>
          </w:p>
          <w:p w14:paraId="7C63CB81" w14:textId="553E2F20" w:rsidR="00EA59D6" w:rsidRDefault="00CD7372" w:rsidP="00CA4429">
            <w:pPr>
              <w:rPr>
                <w:rFonts w:ascii="Times New Roman" w:eastAsia="Times New Roman" w:hAnsi="Times New Roman" w:cs="Times New Roman"/>
                <w:sz w:val="20"/>
              </w:rPr>
            </w:pPr>
            <w:r>
              <w:rPr>
                <w:rFonts w:ascii="Times New Roman" w:eastAsia="Times New Roman" w:hAnsi="Times New Roman" w:cs="Times New Roman"/>
                <w:sz w:val="20"/>
              </w:rPr>
              <w:t xml:space="preserve">Miejscowy plan zagospodarowania </w:t>
            </w:r>
            <w:r w:rsidR="00422425">
              <w:rPr>
                <w:rFonts w:ascii="Times New Roman" w:eastAsia="Times New Roman" w:hAnsi="Times New Roman" w:cs="Times New Roman"/>
                <w:sz w:val="20"/>
              </w:rPr>
              <w:t xml:space="preserve">przestrzennego miasta i gminy Wieliczka </w:t>
            </w:r>
            <w:r w:rsidR="003F0EFD">
              <w:rPr>
                <w:rFonts w:ascii="Times New Roman" w:eastAsia="Times New Roman" w:hAnsi="Times New Roman" w:cs="Times New Roman"/>
                <w:sz w:val="20"/>
              </w:rPr>
              <w:t xml:space="preserve">-obszar A Uchwała </w:t>
            </w:r>
            <w:r w:rsidR="00B76D7A">
              <w:rPr>
                <w:rFonts w:ascii="Times New Roman" w:eastAsia="Times New Roman" w:hAnsi="Times New Roman" w:cs="Times New Roman"/>
                <w:sz w:val="20"/>
              </w:rPr>
              <w:t>nr XLVI/763/2010</w:t>
            </w:r>
            <w:r w:rsidR="00575B25">
              <w:rPr>
                <w:rFonts w:ascii="Times New Roman" w:eastAsia="Times New Roman" w:hAnsi="Times New Roman" w:cs="Times New Roman"/>
                <w:sz w:val="20"/>
              </w:rPr>
              <w:t xml:space="preserve"> Rady Miejskiej w Wieliczce z dnia </w:t>
            </w:r>
            <w:r w:rsidR="00407C29">
              <w:rPr>
                <w:rFonts w:ascii="Times New Roman" w:eastAsia="Times New Roman" w:hAnsi="Times New Roman" w:cs="Times New Roman"/>
                <w:sz w:val="20"/>
              </w:rPr>
              <w:t>10 listopada 2010r.</w:t>
            </w:r>
          </w:p>
          <w:p w14:paraId="2C25B311" w14:textId="77777777" w:rsidR="00AE4162" w:rsidRDefault="00AE4162" w:rsidP="00916270"/>
          <w:p w14:paraId="4B5DACBB" w14:textId="38EE61AB" w:rsidR="00B15A93" w:rsidRDefault="00CA4429" w:rsidP="00916270">
            <w:r>
              <w:t>Nie dotycz</w:t>
            </w:r>
            <w:r w:rsidR="00AE4162">
              <w:t>y</w:t>
            </w:r>
          </w:p>
          <w:p w14:paraId="006B6120" w14:textId="77777777" w:rsidR="00CA4429" w:rsidRDefault="00CA4429" w:rsidP="00916270"/>
          <w:p w14:paraId="20B5A69D" w14:textId="5A995CDA" w:rsidR="00B15A93" w:rsidRDefault="00B15A93" w:rsidP="00916270">
            <w:r>
              <w:t>N</w:t>
            </w:r>
            <w:r w:rsidR="00AE4162">
              <w:t>ie dotyczy</w:t>
            </w:r>
          </w:p>
        </w:tc>
      </w:tr>
      <w:tr w:rsidR="00B569C0" w14:paraId="22B2AD87" w14:textId="77777777" w:rsidTr="00AE4162">
        <w:trPr>
          <w:trHeight w:val="1166"/>
        </w:trPr>
        <w:tc>
          <w:tcPr>
            <w:tcW w:w="0" w:type="auto"/>
            <w:vMerge/>
            <w:tcBorders>
              <w:top w:val="nil"/>
              <w:left w:val="single" w:sz="4" w:space="0" w:color="000000"/>
              <w:bottom w:val="nil"/>
              <w:right w:val="single" w:sz="4" w:space="0" w:color="000000"/>
            </w:tcBorders>
          </w:tcPr>
          <w:p w14:paraId="7FF84E6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3E3FADD" w14:textId="77777777" w:rsidR="00B569C0" w:rsidRDefault="00861F37">
            <w:pPr>
              <w:ind w:left="2"/>
            </w:pPr>
            <w:r>
              <w:rPr>
                <w:rFonts w:ascii="Times New Roman" w:eastAsia="Times New Roman" w:hAnsi="Times New Roman" w:cs="Times New Roman"/>
                <w:sz w:val="20"/>
              </w:rPr>
              <w:t xml:space="preserve">Miejscowy plan zagospodarowania przestrzennego </w:t>
            </w:r>
          </w:p>
        </w:tc>
        <w:tc>
          <w:tcPr>
            <w:tcW w:w="0" w:type="auto"/>
            <w:vMerge/>
            <w:tcBorders>
              <w:top w:val="nil"/>
              <w:left w:val="single" w:sz="4" w:space="0" w:color="000000"/>
              <w:bottom w:val="nil"/>
              <w:right w:val="single" w:sz="4" w:space="0" w:color="000000"/>
            </w:tcBorders>
          </w:tcPr>
          <w:p w14:paraId="0C1BD478" w14:textId="77777777" w:rsidR="00B569C0" w:rsidRDefault="00B569C0"/>
        </w:tc>
      </w:tr>
      <w:tr w:rsidR="00B569C0" w14:paraId="0B067D17" w14:textId="77777777" w:rsidTr="00D2339C">
        <w:trPr>
          <w:trHeight w:val="546"/>
        </w:trPr>
        <w:tc>
          <w:tcPr>
            <w:tcW w:w="0" w:type="auto"/>
            <w:vMerge/>
            <w:tcBorders>
              <w:top w:val="nil"/>
              <w:left w:val="single" w:sz="4" w:space="0" w:color="000000"/>
              <w:bottom w:val="nil"/>
              <w:right w:val="single" w:sz="4" w:space="0" w:color="000000"/>
            </w:tcBorders>
          </w:tcPr>
          <w:p w14:paraId="3BB7D4C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36A798A" w14:textId="77777777" w:rsidR="00596977" w:rsidRDefault="00596977">
            <w:pPr>
              <w:ind w:left="2"/>
              <w:rPr>
                <w:rFonts w:ascii="Times New Roman" w:eastAsia="Times New Roman" w:hAnsi="Times New Roman" w:cs="Times New Roman"/>
                <w:sz w:val="20"/>
              </w:rPr>
            </w:pPr>
          </w:p>
          <w:p w14:paraId="166AD41A" w14:textId="531A4F8B" w:rsidR="00B569C0" w:rsidRDefault="00861F37">
            <w:pPr>
              <w:ind w:left="2"/>
            </w:pPr>
            <w:r>
              <w:rPr>
                <w:rFonts w:ascii="Times New Roman" w:eastAsia="Times New Roman" w:hAnsi="Times New Roman" w:cs="Times New Roman"/>
                <w:sz w:val="20"/>
              </w:rPr>
              <w:t xml:space="preserve">Miejscowy plan odbudowy </w:t>
            </w:r>
          </w:p>
        </w:tc>
        <w:tc>
          <w:tcPr>
            <w:tcW w:w="0" w:type="auto"/>
            <w:vMerge/>
            <w:tcBorders>
              <w:top w:val="nil"/>
              <w:left w:val="single" w:sz="4" w:space="0" w:color="000000"/>
              <w:bottom w:val="nil"/>
              <w:right w:val="single" w:sz="4" w:space="0" w:color="000000"/>
            </w:tcBorders>
          </w:tcPr>
          <w:p w14:paraId="1B579BF3" w14:textId="77777777" w:rsidR="00B569C0" w:rsidRDefault="00B569C0"/>
        </w:tc>
      </w:tr>
      <w:tr w:rsidR="00B569C0" w14:paraId="6BEC25B4" w14:textId="77777777">
        <w:trPr>
          <w:trHeight w:val="459"/>
        </w:trPr>
        <w:tc>
          <w:tcPr>
            <w:tcW w:w="0" w:type="auto"/>
            <w:vMerge/>
            <w:tcBorders>
              <w:top w:val="nil"/>
              <w:left w:val="single" w:sz="4" w:space="0" w:color="000000"/>
              <w:bottom w:val="single" w:sz="4" w:space="0" w:color="000000"/>
              <w:right w:val="single" w:sz="4" w:space="0" w:color="000000"/>
            </w:tcBorders>
          </w:tcPr>
          <w:p w14:paraId="12F99D9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D1F9994" w14:textId="77777777" w:rsidR="00B569C0" w:rsidRDefault="00861F37">
            <w:pPr>
              <w:ind w:left="2"/>
            </w:pPr>
            <w:r>
              <w:rPr>
                <w:rFonts w:ascii="Times New Roman" w:eastAsia="Times New Roman" w:hAnsi="Times New Roman" w:cs="Times New Roman"/>
                <w:sz w:val="20"/>
              </w:rPr>
              <w:t>Inne</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10536F93" w14:textId="77777777" w:rsidR="00B569C0" w:rsidRDefault="00B569C0"/>
        </w:tc>
      </w:tr>
      <w:tr w:rsidR="00B569C0" w14:paraId="66D5C434" w14:textId="77777777">
        <w:trPr>
          <w:trHeight w:val="459"/>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D6F5948" w14:textId="77777777" w:rsidR="00B569C0" w:rsidRDefault="00861F37">
            <w:pPr>
              <w:spacing w:line="274" w:lineRule="auto"/>
            </w:pPr>
            <w:r>
              <w:rPr>
                <w:rFonts w:ascii="Times New Roman" w:eastAsia="Times New Roman" w:hAnsi="Times New Roman" w:cs="Times New Roman"/>
                <w:sz w:val="20"/>
              </w:rPr>
              <w:t xml:space="preserve">Ustalenia obowiązującego miejscowego planu </w:t>
            </w:r>
          </w:p>
          <w:p w14:paraId="13C118C5" w14:textId="77777777" w:rsidR="00B569C0" w:rsidRDefault="00861F37">
            <w:pPr>
              <w:spacing w:after="1" w:line="273" w:lineRule="auto"/>
            </w:pPr>
            <w:r>
              <w:rPr>
                <w:rFonts w:ascii="Times New Roman" w:eastAsia="Times New Roman" w:hAnsi="Times New Roman" w:cs="Times New Roman"/>
                <w:sz w:val="20"/>
              </w:rPr>
              <w:t xml:space="preserve">zagospodarowania przestrzennego dla terenu objętego </w:t>
            </w:r>
          </w:p>
          <w:p w14:paraId="71DFE979" w14:textId="77777777" w:rsidR="00B569C0" w:rsidRDefault="00861F37">
            <w:pPr>
              <w:jc w:val="both"/>
            </w:pPr>
            <w:r>
              <w:rPr>
                <w:rFonts w:ascii="Times New Roman" w:eastAsia="Times New Roman" w:hAnsi="Times New Roman" w:cs="Times New Roman"/>
                <w:sz w:val="20"/>
              </w:rPr>
              <w:t xml:space="preserve">przedsięwzięciem deweloperskim lub zadaniem inwestycyjnym </w:t>
            </w:r>
          </w:p>
        </w:tc>
        <w:tc>
          <w:tcPr>
            <w:tcW w:w="3256" w:type="dxa"/>
            <w:tcBorders>
              <w:top w:val="single" w:sz="4" w:space="0" w:color="000000"/>
              <w:left w:val="single" w:sz="4" w:space="0" w:color="000000"/>
              <w:bottom w:val="single" w:sz="4" w:space="0" w:color="000000"/>
              <w:right w:val="single" w:sz="4" w:space="0" w:color="000000"/>
            </w:tcBorders>
          </w:tcPr>
          <w:p w14:paraId="360CB1BB" w14:textId="77777777" w:rsidR="00B569C0" w:rsidRDefault="00861F37">
            <w:pPr>
              <w:ind w:left="2"/>
            </w:pPr>
            <w:r>
              <w:rPr>
                <w:rFonts w:ascii="Times New Roman" w:eastAsia="Times New Roman" w:hAnsi="Times New Roman" w:cs="Times New Roman"/>
                <w:sz w:val="20"/>
              </w:rPr>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tcPr>
          <w:p w14:paraId="051B056F" w14:textId="0BE91099" w:rsidR="00C86AA3" w:rsidRPr="00C86AA3" w:rsidRDefault="00C86AA3">
            <w:pPr>
              <w:ind w:left="1"/>
              <w:rPr>
                <w:rFonts w:ascii="Times New Roman" w:eastAsia="Times New Roman" w:hAnsi="Times New Roman" w:cs="Times New Roman"/>
                <w:color w:val="auto"/>
                <w:sz w:val="20"/>
              </w:rPr>
            </w:pPr>
            <w:r w:rsidRPr="000639E2">
              <w:rPr>
                <w:rFonts w:ascii="Times New Roman" w:eastAsia="Times New Roman" w:hAnsi="Times New Roman" w:cs="Times New Roman"/>
                <w:color w:val="auto"/>
                <w:szCs w:val="22"/>
              </w:rPr>
              <w:t xml:space="preserve">Teren </w:t>
            </w:r>
            <w:r w:rsidR="00432DBE" w:rsidRPr="000639E2">
              <w:rPr>
                <w:rFonts w:ascii="Times New Roman" w:eastAsia="Times New Roman" w:hAnsi="Times New Roman" w:cs="Times New Roman"/>
                <w:color w:val="auto"/>
                <w:szCs w:val="22"/>
              </w:rPr>
              <w:t>oznaczony symbolem</w:t>
            </w:r>
            <w:r w:rsidR="00432DBE">
              <w:rPr>
                <w:rFonts w:ascii="Times New Roman" w:eastAsia="Times New Roman" w:hAnsi="Times New Roman" w:cs="Times New Roman"/>
                <w:color w:val="auto"/>
                <w:sz w:val="20"/>
              </w:rPr>
              <w:t xml:space="preserve"> </w:t>
            </w:r>
            <w:r w:rsidR="000D6D2F">
              <w:rPr>
                <w:rFonts w:ascii="Times New Roman" w:eastAsia="Times New Roman" w:hAnsi="Times New Roman" w:cs="Times New Roman"/>
                <w:color w:val="auto"/>
                <w:sz w:val="20"/>
              </w:rPr>
              <w:t>41</w:t>
            </w:r>
            <w:r w:rsidR="000B68A5">
              <w:rPr>
                <w:rFonts w:ascii="Times New Roman" w:eastAsia="Times New Roman" w:hAnsi="Times New Roman" w:cs="Times New Roman"/>
                <w:color w:val="auto"/>
                <w:sz w:val="20"/>
              </w:rPr>
              <w:t>MN</w:t>
            </w:r>
          </w:p>
          <w:p w14:paraId="290F43C1" w14:textId="77777777" w:rsidR="00DD46A3" w:rsidRDefault="006F4F57">
            <w:pPr>
              <w:ind w:left="1"/>
            </w:pPr>
            <w:r>
              <w:t>1)</w:t>
            </w:r>
            <w:r w:rsidR="00CF3C37">
              <w:t>Z</w:t>
            </w:r>
            <w:r w:rsidR="00EC2D74">
              <w:t xml:space="preserve">abudowa mieszkaniowa jednorodzinna, wolnostojąca, bliźniacza i szeregowa, z możliwością wydzielenia w budynku mieszkalnym lokalu na cele usługowe, zgodnie z przepisami odrębnymi; </w:t>
            </w:r>
          </w:p>
          <w:p w14:paraId="200B26A1" w14:textId="0D2A4114" w:rsidR="00B569C0" w:rsidRDefault="00EC2D74">
            <w:pPr>
              <w:ind w:left="1"/>
            </w:pPr>
            <w:r>
              <w:t>2) zabudowa i zagospodarowanie towarzyszące zabudowie jednorodzinnej i funkcjonalnie z nią związane, w tym: a) budynki garażowe i gospodarcze, b) zieleń przydomowa, c) niewydzielone na rysunku planu drogi, dojazdy, dojścia do budynków, miejsca postojowe, d) obiekty małej architektury, e) ogrodzenia, przyłącza i urządzenia instalacyjne do budynków, urządzenia służące oczyszczaniu lub gromadzeniu ścieków, z zastrzeżeniem §18 pkt 2.</w:t>
            </w:r>
          </w:p>
        </w:tc>
      </w:tr>
      <w:tr w:rsidR="00B569C0" w14:paraId="406861FB" w14:textId="77777777">
        <w:trPr>
          <w:trHeight w:val="722"/>
        </w:trPr>
        <w:tc>
          <w:tcPr>
            <w:tcW w:w="0" w:type="auto"/>
            <w:vMerge/>
            <w:tcBorders>
              <w:top w:val="nil"/>
              <w:left w:val="single" w:sz="4" w:space="0" w:color="000000"/>
              <w:bottom w:val="nil"/>
              <w:right w:val="single" w:sz="4" w:space="0" w:color="000000"/>
            </w:tcBorders>
          </w:tcPr>
          <w:p w14:paraId="31D4F74D"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52201AD7" w14:textId="77777777" w:rsidR="00B569C0" w:rsidRDefault="00861F37">
            <w:pPr>
              <w:ind w:left="2" w:right="37"/>
            </w:pPr>
            <w:r>
              <w:rPr>
                <w:rFonts w:ascii="Times New Roman" w:eastAsia="Times New Roman" w:hAnsi="Times New Roman" w:cs="Times New Roman"/>
                <w:sz w:val="20"/>
              </w:rPr>
              <w:t xml:space="preserve">Maksymalna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34B28A17" w14:textId="72B8DC94" w:rsidR="00B569C0" w:rsidRDefault="00AE4162">
            <w:pPr>
              <w:ind w:left="1"/>
            </w:pPr>
            <w:r>
              <w:t>Nie dotyczy</w:t>
            </w:r>
          </w:p>
        </w:tc>
      </w:tr>
      <w:tr w:rsidR="00B569C0" w14:paraId="10C90231" w14:textId="77777777">
        <w:trPr>
          <w:trHeight w:val="722"/>
        </w:trPr>
        <w:tc>
          <w:tcPr>
            <w:tcW w:w="0" w:type="auto"/>
            <w:vMerge/>
            <w:tcBorders>
              <w:top w:val="nil"/>
              <w:left w:val="single" w:sz="4" w:space="0" w:color="000000"/>
              <w:bottom w:val="nil"/>
              <w:right w:val="single" w:sz="4" w:space="0" w:color="000000"/>
            </w:tcBorders>
          </w:tcPr>
          <w:p w14:paraId="7F83BAEA"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BA68FF3" w14:textId="77777777" w:rsidR="00B569C0" w:rsidRDefault="00861F37">
            <w:pPr>
              <w:ind w:left="2"/>
            </w:pPr>
            <w:r>
              <w:rPr>
                <w:rFonts w:ascii="Times New Roman" w:eastAsia="Times New Roman" w:hAnsi="Times New Roman" w:cs="Times New Roman"/>
                <w:sz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3FED61AD" w14:textId="6123F1AB" w:rsidR="00B569C0" w:rsidRDefault="00AE4162">
            <w:pPr>
              <w:ind w:left="1"/>
            </w:pPr>
            <w:r>
              <w:t>Nie dotyczy</w:t>
            </w:r>
          </w:p>
        </w:tc>
      </w:tr>
      <w:tr w:rsidR="00B569C0" w14:paraId="7E5B4E00" w14:textId="77777777">
        <w:trPr>
          <w:trHeight w:val="460"/>
        </w:trPr>
        <w:tc>
          <w:tcPr>
            <w:tcW w:w="0" w:type="auto"/>
            <w:vMerge/>
            <w:tcBorders>
              <w:top w:val="nil"/>
              <w:left w:val="single" w:sz="4" w:space="0" w:color="000000"/>
              <w:bottom w:val="nil"/>
              <w:right w:val="single" w:sz="4" w:space="0" w:color="000000"/>
            </w:tcBorders>
          </w:tcPr>
          <w:p w14:paraId="0A65CB33"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E311C3F" w14:textId="77777777" w:rsidR="00B569C0" w:rsidRDefault="00861F37">
            <w:pPr>
              <w:ind w:left="2"/>
            </w:pPr>
            <w:r>
              <w:rPr>
                <w:rFonts w:ascii="Times New Roman" w:eastAsia="Times New Roman" w:hAnsi="Times New Roman" w:cs="Times New Roman"/>
                <w:sz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tcPr>
          <w:p w14:paraId="3D1589FC" w14:textId="618B924F" w:rsidR="00B569C0" w:rsidRDefault="00861F37">
            <w:pPr>
              <w:ind w:left="1"/>
            </w:pPr>
            <w:r>
              <w:rPr>
                <w:rFonts w:ascii="Times New Roman" w:eastAsia="Times New Roman" w:hAnsi="Times New Roman" w:cs="Times New Roman"/>
                <w:sz w:val="20"/>
              </w:rPr>
              <w:t xml:space="preserve"> </w:t>
            </w:r>
            <w:r w:rsidR="00B23A81">
              <w:rPr>
                <w:rFonts w:ascii="Times New Roman" w:eastAsia="Times New Roman" w:hAnsi="Times New Roman" w:cs="Times New Roman"/>
                <w:sz w:val="20"/>
              </w:rPr>
              <w:t>60%</w:t>
            </w:r>
          </w:p>
        </w:tc>
      </w:tr>
      <w:tr w:rsidR="00B569C0" w14:paraId="250D75F0" w14:textId="77777777">
        <w:trPr>
          <w:trHeight w:val="458"/>
        </w:trPr>
        <w:tc>
          <w:tcPr>
            <w:tcW w:w="0" w:type="auto"/>
            <w:vMerge/>
            <w:tcBorders>
              <w:top w:val="nil"/>
              <w:left w:val="single" w:sz="4" w:space="0" w:color="000000"/>
              <w:bottom w:val="nil"/>
              <w:right w:val="single" w:sz="4" w:space="0" w:color="000000"/>
            </w:tcBorders>
          </w:tcPr>
          <w:p w14:paraId="0FCC64D1"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F44617F" w14:textId="77777777" w:rsidR="00B569C0" w:rsidRDefault="00861F37">
            <w:pPr>
              <w:ind w:left="2"/>
            </w:pPr>
            <w:r>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tcPr>
          <w:p w14:paraId="6D5D081F" w14:textId="082BEE9A" w:rsidR="00B569C0" w:rsidRDefault="00861F37">
            <w:pPr>
              <w:ind w:left="1"/>
            </w:pPr>
            <w:r>
              <w:rPr>
                <w:rFonts w:ascii="Times New Roman" w:eastAsia="Times New Roman" w:hAnsi="Times New Roman" w:cs="Times New Roman"/>
                <w:sz w:val="20"/>
              </w:rPr>
              <w:t xml:space="preserve"> </w:t>
            </w:r>
            <w:r w:rsidR="0079006A">
              <w:rPr>
                <w:rFonts w:ascii="Times New Roman" w:eastAsia="Times New Roman" w:hAnsi="Times New Roman" w:cs="Times New Roman"/>
                <w:sz w:val="20"/>
              </w:rPr>
              <w:t>11</w:t>
            </w:r>
            <w:r w:rsidR="00BC3137">
              <w:rPr>
                <w:rFonts w:ascii="Times New Roman" w:eastAsia="Times New Roman" w:hAnsi="Times New Roman" w:cs="Times New Roman"/>
                <w:sz w:val="20"/>
              </w:rPr>
              <w:t>m</w:t>
            </w:r>
          </w:p>
        </w:tc>
      </w:tr>
      <w:tr w:rsidR="00B569C0" w14:paraId="48B3D430" w14:textId="77777777">
        <w:trPr>
          <w:trHeight w:val="722"/>
        </w:trPr>
        <w:tc>
          <w:tcPr>
            <w:tcW w:w="0" w:type="auto"/>
            <w:vMerge/>
            <w:tcBorders>
              <w:top w:val="nil"/>
              <w:left w:val="single" w:sz="4" w:space="0" w:color="000000"/>
              <w:bottom w:val="nil"/>
              <w:right w:val="single" w:sz="4" w:space="0" w:color="000000"/>
            </w:tcBorders>
          </w:tcPr>
          <w:p w14:paraId="1072489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B577883" w14:textId="77777777" w:rsidR="00B569C0" w:rsidRDefault="00861F37">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14:paraId="35B70126" w14:textId="3DF68366" w:rsidR="00B569C0" w:rsidRDefault="00861F37">
            <w:pPr>
              <w:ind w:left="1"/>
            </w:pPr>
            <w:r>
              <w:rPr>
                <w:rFonts w:ascii="Times New Roman" w:eastAsia="Times New Roman" w:hAnsi="Times New Roman" w:cs="Times New Roman"/>
                <w:sz w:val="20"/>
              </w:rPr>
              <w:t xml:space="preserve"> </w:t>
            </w:r>
            <w:r w:rsidR="003D52EE">
              <w:rPr>
                <w:rFonts w:ascii="Times New Roman" w:eastAsia="Times New Roman" w:hAnsi="Times New Roman" w:cs="Times New Roman"/>
                <w:sz w:val="20"/>
              </w:rPr>
              <w:t>40%</w:t>
            </w:r>
          </w:p>
        </w:tc>
      </w:tr>
      <w:tr w:rsidR="00B569C0" w14:paraId="2B69F4BF" w14:textId="77777777">
        <w:trPr>
          <w:trHeight w:val="724"/>
        </w:trPr>
        <w:tc>
          <w:tcPr>
            <w:tcW w:w="0" w:type="auto"/>
            <w:vMerge/>
            <w:tcBorders>
              <w:top w:val="nil"/>
              <w:left w:val="single" w:sz="4" w:space="0" w:color="000000"/>
              <w:bottom w:val="nil"/>
              <w:right w:val="single" w:sz="4" w:space="0" w:color="000000"/>
            </w:tcBorders>
          </w:tcPr>
          <w:p w14:paraId="35E016EC"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0DC1B45" w14:textId="77777777" w:rsidR="00B569C0" w:rsidRDefault="00861F37">
            <w:pPr>
              <w:ind w:left="2" w:right="855"/>
            </w:pPr>
            <w:r>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tcPr>
          <w:p w14:paraId="470F2778" w14:textId="5E201966" w:rsidR="00B569C0" w:rsidRDefault="00861F37">
            <w:pPr>
              <w:ind w:left="1"/>
            </w:pPr>
            <w:r>
              <w:rPr>
                <w:rFonts w:ascii="Times New Roman" w:eastAsia="Times New Roman" w:hAnsi="Times New Roman" w:cs="Times New Roman"/>
                <w:sz w:val="20"/>
              </w:rPr>
              <w:t xml:space="preserve"> </w:t>
            </w:r>
            <w:r w:rsidR="00EE2978">
              <w:rPr>
                <w:rFonts w:ascii="Times New Roman" w:eastAsia="Times New Roman" w:hAnsi="Times New Roman" w:cs="Times New Roman"/>
                <w:sz w:val="20"/>
              </w:rPr>
              <w:t>6</w:t>
            </w:r>
            <w:r w:rsidR="00CC0CAC">
              <w:rPr>
                <w:rFonts w:ascii="Times New Roman" w:eastAsia="Times New Roman" w:hAnsi="Times New Roman" w:cs="Times New Roman"/>
                <w:sz w:val="20"/>
              </w:rPr>
              <w:t xml:space="preserve"> </w:t>
            </w:r>
          </w:p>
        </w:tc>
      </w:tr>
      <w:tr w:rsidR="00B569C0" w14:paraId="5B6814C1" w14:textId="77777777">
        <w:trPr>
          <w:trHeight w:val="722"/>
        </w:trPr>
        <w:tc>
          <w:tcPr>
            <w:tcW w:w="0" w:type="auto"/>
            <w:vMerge/>
            <w:tcBorders>
              <w:top w:val="nil"/>
              <w:left w:val="single" w:sz="4" w:space="0" w:color="000000"/>
              <w:bottom w:val="nil"/>
              <w:right w:val="single" w:sz="4" w:space="0" w:color="000000"/>
            </w:tcBorders>
          </w:tcPr>
          <w:p w14:paraId="1ADF082C"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9495014" w14:textId="77777777" w:rsidR="00B569C0" w:rsidRDefault="00861F37">
            <w:pPr>
              <w:ind w:left="2" w:right="50"/>
            </w:pPr>
            <w:r>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14:paraId="0C921624" w14:textId="463AAD53" w:rsidR="00B569C0" w:rsidRDefault="00FD1679">
            <w:pPr>
              <w:ind w:left="1"/>
            </w:pPr>
            <w:r w:rsidRPr="00FD1679">
              <w:rPr>
                <w:rFonts w:ascii="Times New Roman" w:eastAsiaTheme="minorHAnsi" w:hAnsi="Times New Roman" w:cs="Times New Roman"/>
                <w:sz w:val="18"/>
                <w:szCs w:val="18"/>
              </w:rPr>
              <w:t xml:space="preserve">Dla planowanego przedsięwzięcia nie jest konieczne przeprowadzenie postepowania w sprawie wydania decyzji  o środowiskowych uwarunkowaniach. Przedmiotowy teren nie znajduje się w obrębie parków narodowych, rezerwatów przyrody i parków krajobrazowych. Na terenie inwestycji nie występują podlegające ochronie formy przyrody.  </w:t>
            </w:r>
          </w:p>
        </w:tc>
      </w:tr>
      <w:tr w:rsidR="00B569C0" w14:paraId="6B0DA9C5" w14:textId="77777777">
        <w:trPr>
          <w:trHeight w:val="1397"/>
        </w:trPr>
        <w:tc>
          <w:tcPr>
            <w:tcW w:w="0" w:type="auto"/>
            <w:vMerge/>
            <w:tcBorders>
              <w:top w:val="nil"/>
              <w:left w:val="single" w:sz="4" w:space="0" w:color="000000"/>
              <w:bottom w:val="single" w:sz="4" w:space="0" w:color="000000"/>
              <w:right w:val="single" w:sz="4" w:space="0" w:color="000000"/>
            </w:tcBorders>
          </w:tcPr>
          <w:p w14:paraId="42F11A5D"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68D2AFE" w14:textId="77777777" w:rsidR="00B569C0" w:rsidRDefault="00861F37">
            <w:pPr>
              <w:ind w:left="2" w:right="262"/>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60B71781" w14:textId="57421A49" w:rsidR="00B569C0" w:rsidRPr="00FD1679" w:rsidRDefault="00FD1679">
            <w:pPr>
              <w:ind w:left="1"/>
              <w:rPr>
                <w:rFonts w:ascii="Times New Roman" w:hAnsi="Times New Roman" w:cs="Times New Roman"/>
              </w:rPr>
            </w:pPr>
            <w:r>
              <w:rPr>
                <w:rFonts w:ascii="Times New Roman" w:hAnsi="Times New Roman" w:cs="Times New Roman"/>
              </w:rPr>
              <w:t>Nie dotyczy</w:t>
            </w:r>
          </w:p>
        </w:tc>
      </w:tr>
    </w:tbl>
    <w:p w14:paraId="0636D8B7" w14:textId="77777777" w:rsidR="00B569C0" w:rsidRDefault="00861F37">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0124988F" w14:textId="77777777" w:rsidR="00B569C0" w:rsidRDefault="00861F37">
      <w:pPr>
        <w:numPr>
          <w:ilvl w:val="0"/>
          <w:numId w:val="2"/>
        </w:numPr>
        <w:spacing w:after="30" w:line="262" w:lineRule="auto"/>
        <w:ind w:hanging="280"/>
        <w:jc w:val="both"/>
      </w:pPr>
      <w:r>
        <w:rPr>
          <w:rFonts w:ascii="Times New Roman" w:eastAsia="Times New Roman" w:hAnsi="Times New Roman" w:cs="Times New Roman"/>
          <w:sz w:val="18"/>
        </w:rPr>
        <w:t xml:space="preserve">W szczególności imię i nazwisko albo firma właściciela lub użytkownika wieczystego oraz istniejące obciążenia na nieruchomości. </w:t>
      </w:r>
    </w:p>
    <w:p w14:paraId="73FD62A3" w14:textId="77777777" w:rsidR="00B569C0" w:rsidRDefault="00861F37">
      <w:pPr>
        <w:numPr>
          <w:ilvl w:val="0"/>
          <w:numId w:val="2"/>
        </w:numPr>
        <w:spacing w:after="30" w:line="262" w:lineRule="auto"/>
        <w:ind w:hanging="280"/>
        <w:jc w:val="both"/>
      </w:pPr>
      <w:r>
        <w:rPr>
          <w:rFonts w:ascii="Times New Roman" w:eastAsia="Times New Roman" w:hAnsi="Times New Roman" w:cs="Times New Roman"/>
          <w:sz w:val="18"/>
        </w:rPr>
        <w:t xml:space="preserve">W szczególności obiekty generujące uciążliwości zapachowe, hałasowe, świetlne. </w:t>
      </w:r>
    </w:p>
    <w:p w14:paraId="5ABE0C5D" w14:textId="77777777" w:rsidR="00B569C0" w:rsidRDefault="00861F37">
      <w:pPr>
        <w:numPr>
          <w:ilvl w:val="0"/>
          <w:numId w:val="2"/>
        </w:numPr>
        <w:spacing w:after="51" w:line="262" w:lineRule="auto"/>
        <w:ind w:hanging="280"/>
        <w:jc w:val="both"/>
      </w:pPr>
      <w:r>
        <w:rPr>
          <w:rFonts w:ascii="Times New Roman" w:eastAsia="Times New Roman" w:hAnsi="Times New Roman" w:cs="Times New Roman"/>
          <w:sz w:val="18"/>
        </w:rPr>
        <w:t>Akty prawne (rozporządzenia, zarządzenia, uchwały) w sprawach</w:t>
      </w:r>
      <w:r>
        <w:rPr>
          <w:rFonts w:ascii="Times New Roman" w:eastAsia="Times New Roman" w:hAnsi="Times New Roman" w:cs="Times New Roman"/>
          <w:b/>
          <w:sz w:val="18"/>
        </w:rPr>
        <w:t>:</w:t>
      </w:r>
      <w:r>
        <w:rPr>
          <w:rFonts w:ascii="Times New Roman" w:eastAsia="Times New Roman" w:hAnsi="Times New Roman" w:cs="Times New Roman"/>
          <w:sz w:val="18"/>
        </w:rPr>
        <w:t xml:space="preserve"> </w:t>
      </w:r>
    </w:p>
    <w:p w14:paraId="47ED289F"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dotyczących Inwestycji, Inwestycji Towarzyszących oraz obszaru otoczenia CPK,</w:t>
      </w:r>
      <w:r>
        <w:rPr>
          <w:rFonts w:ascii="Times New Roman" w:eastAsia="Times New Roman" w:hAnsi="Times New Roman" w:cs="Times New Roman"/>
          <w:b/>
          <w:sz w:val="18"/>
        </w:rPr>
        <w:t xml:space="preserve"> </w:t>
      </w:r>
    </w:p>
    <w:p w14:paraId="703C379F" w14:textId="77777777" w:rsidR="00B569C0" w:rsidRDefault="00861F37">
      <w:pPr>
        <w:numPr>
          <w:ilvl w:val="1"/>
          <w:numId w:val="2"/>
        </w:numPr>
        <w:spacing w:after="0" w:line="262" w:lineRule="auto"/>
        <w:ind w:left="546" w:hanging="281"/>
        <w:jc w:val="both"/>
      </w:pPr>
      <w:r>
        <w:rPr>
          <w:rFonts w:ascii="Times New Roman" w:eastAsia="Times New Roman" w:hAnsi="Times New Roman" w:cs="Times New Roman"/>
          <w:sz w:val="18"/>
        </w:rPr>
        <w:t xml:space="preserve">lokalizacji inwestycji mieszkaniowej lub inwestycji towarzyszącej, </w:t>
      </w:r>
    </w:p>
    <w:p w14:paraId="512EC320"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0A007FEA"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ustanowienia strefy ochronnej terenu ochrony bezpośredniej i terenu ochrony pośredniej ujęcia wody, </w:t>
      </w:r>
    </w:p>
    <w:p w14:paraId="5037ECF4"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wyznaczenia obszarów cichych w aglomeracji lub obszarów cichych poza aglomeracją, </w:t>
      </w:r>
    </w:p>
    <w:p w14:paraId="0C8A2848" w14:textId="77777777" w:rsidR="00B569C0" w:rsidRDefault="00861F37">
      <w:pPr>
        <w:numPr>
          <w:ilvl w:val="1"/>
          <w:numId w:val="2"/>
        </w:numPr>
        <w:spacing w:after="0" w:line="262" w:lineRule="auto"/>
        <w:ind w:left="546" w:hanging="281"/>
        <w:jc w:val="both"/>
      </w:pPr>
      <w:r>
        <w:rPr>
          <w:rFonts w:ascii="Times New Roman" w:eastAsia="Times New Roman" w:hAnsi="Times New Roman" w:cs="Times New Roman"/>
          <w:sz w:val="18"/>
        </w:rPr>
        <w:t xml:space="preserve">utworzenia obszaru ograniczonego użytkowania, </w:t>
      </w:r>
    </w:p>
    <w:p w14:paraId="2B380B41"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uznania zabytku za pomnik historii, </w:t>
      </w:r>
    </w:p>
    <w:p w14:paraId="20147FD4"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określenia granic obszaru Pomnika Zagłady i jego strefy ochronnej, utworzenia parku kulturowego, </w:t>
      </w:r>
    </w:p>
    <w:p w14:paraId="4D7898DE" w14:textId="77777777" w:rsidR="00B569C0" w:rsidRDefault="00861F37">
      <w:pPr>
        <w:numPr>
          <w:ilvl w:val="1"/>
          <w:numId w:val="2"/>
        </w:numPr>
        <w:spacing w:after="30" w:line="262" w:lineRule="auto"/>
        <w:ind w:left="546" w:hanging="281"/>
        <w:jc w:val="both"/>
      </w:pPr>
      <w:r>
        <w:rPr>
          <w:rFonts w:ascii="Times New Roman" w:eastAsia="Times New Roman" w:hAnsi="Times New Roman" w:cs="Times New Roman"/>
          <w:sz w:val="18"/>
        </w:rPr>
        <w:t xml:space="preserve">ustalenia zasad i warunków sytuowania obiektów małej architektury, tablic reklamowych i urządzeń reklamowych oraz ogrodzeń, ich gabarytów, standardów jakościowych oraz rodzajów materiałów budowlanych. </w:t>
      </w:r>
    </w:p>
    <w:p w14:paraId="268D66F9" w14:textId="77777777" w:rsidR="00B569C0" w:rsidRDefault="00B569C0">
      <w:pPr>
        <w:spacing w:after="0"/>
        <w:ind w:left="-1020" w:right="216"/>
      </w:pPr>
    </w:p>
    <w:tbl>
      <w:tblPr>
        <w:tblStyle w:val="TableGrid"/>
        <w:tblW w:w="9646" w:type="dxa"/>
        <w:tblInd w:w="6" w:type="dxa"/>
        <w:tblCellMar>
          <w:top w:w="52" w:type="dxa"/>
          <w:left w:w="107" w:type="dxa"/>
          <w:right w:w="64" w:type="dxa"/>
        </w:tblCellMar>
        <w:tblLook w:val="04A0" w:firstRow="1" w:lastRow="0" w:firstColumn="1" w:lastColumn="0" w:noHBand="0" w:noVBand="1"/>
      </w:tblPr>
      <w:tblGrid>
        <w:gridCol w:w="2971"/>
        <w:gridCol w:w="3256"/>
        <w:gridCol w:w="3419"/>
      </w:tblGrid>
      <w:tr w:rsidR="00B569C0" w14:paraId="6FDD4AED" w14:textId="77777777">
        <w:trPr>
          <w:trHeight w:val="98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9B42EA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06DBDF7" w14:textId="77777777" w:rsidR="00B569C0" w:rsidRDefault="00861F37">
            <w:pPr>
              <w:ind w:left="2" w:right="579"/>
            </w:pPr>
            <w:r>
              <w:rPr>
                <w:rFonts w:ascii="Times New Roman" w:eastAsia="Times New Roman" w:hAnsi="Times New Roman" w:cs="Times New Roman"/>
                <w:sz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7D1D80A6" w14:textId="5034E615" w:rsidR="00B569C0" w:rsidRDefault="00FD1679">
            <w:pPr>
              <w:ind w:left="1"/>
            </w:pPr>
            <w:r w:rsidRPr="00FD1679">
              <w:t>Przedmiotowy teren nie znajduje się w obszarze ochrony konserwatorskiej. Na przedmiotowym terenie nie występują podlegające ochronie zabytki i dobra kultury współczesnej.</w:t>
            </w:r>
          </w:p>
        </w:tc>
      </w:tr>
      <w:tr w:rsidR="00B569C0" w14:paraId="03C4D6A8" w14:textId="77777777">
        <w:trPr>
          <w:trHeight w:val="1252"/>
        </w:trPr>
        <w:tc>
          <w:tcPr>
            <w:tcW w:w="0" w:type="auto"/>
            <w:vMerge/>
            <w:tcBorders>
              <w:top w:val="nil"/>
              <w:left w:val="single" w:sz="4" w:space="0" w:color="000000"/>
              <w:bottom w:val="nil"/>
              <w:right w:val="single" w:sz="4" w:space="0" w:color="000000"/>
            </w:tcBorders>
          </w:tcPr>
          <w:p w14:paraId="17905239"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16AF0C62" w14:textId="77777777" w:rsidR="00B569C0" w:rsidRDefault="00861F37">
            <w:pPr>
              <w:ind w:left="2" w:right="266"/>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547ABD81" w14:textId="52A2E940" w:rsidR="00B569C0" w:rsidRPr="00247940" w:rsidRDefault="00C07668">
            <w:pPr>
              <w:ind w:left="1"/>
              <w:rPr>
                <w:rFonts w:ascii="Times New Roman" w:hAnsi="Times New Roman" w:cs="Times New Roman"/>
              </w:rPr>
            </w:pPr>
            <w:r w:rsidRPr="00247940">
              <w:rPr>
                <w:rFonts w:ascii="Times New Roman" w:eastAsia="Times New Roman" w:hAnsi="Times New Roman" w:cs="Times New Roman"/>
                <w:sz w:val="20"/>
              </w:rPr>
              <w:t xml:space="preserve">Inwestycja znajduje się na obszarze ochronny Głównego Zbiornika Wód Podziemnych nr 451 - </w:t>
            </w:r>
            <w:proofErr w:type="spellStart"/>
            <w:r w:rsidRPr="00247940">
              <w:rPr>
                <w:rFonts w:ascii="Times New Roman" w:eastAsia="Times New Roman" w:hAnsi="Times New Roman" w:cs="Times New Roman"/>
                <w:sz w:val="20"/>
              </w:rPr>
              <w:t>Subzbiornika</w:t>
            </w:r>
            <w:proofErr w:type="spellEnd"/>
            <w:r w:rsidRPr="00247940">
              <w:rPr>
                <w:rFonts w:ascii="Times New Roman" w:eastAsia="Times New Roman" w:hAnsi="Times New Roman" w:cs="Times New Roman"/>
                <w:sz w:val="20"/>
              </w:rPr>
              <w:t xml:space="preserve"> Bogucice (</w:t>
            </w:r>
            <w:r w:rsidR="0095454E" w:rsidRPr="00247940">
              <w:rPr>
                <w:rFonts w:ascii="Times New Roman" w:eastAsiaTheme="minorHAnsi" w:hAnsi="Times New Roman" w:cs="Times New Roman"/>
                <w:sz w:val="18"/>
                <w:szCs w:val="18"/>
              </w:rPr>
              <w:t xml:space="preserve">ROZPORZĄDZENIE WOJEWODY MAŁOPOLSKIEGO z dnia 19 grudnia 2022 r. </w:t>
            </w:r>
            <w:r w:rsidRPr="00247940">
              <w:rPr>
                <w:rFonts w:ascii="Times New Roman" w:eastAsiaTheme="minorHAnsi" w:hAnsi="Times New Roman" w:cs="Times New Roman"/>
                <w:sz w:val="18"/>
                <w:szCs w:val="18"/>
              </w:rPr>
              <w:t xml:space="preserve">(Dziennik Urzędowy woj. Małopolskiego z 2022 </w:t>
            </w:r>
            <w:proofErr w:type="spellStart"/>
            <w:r w:rsidRPr="00247940">
              <w:rPr>
                <w:rFonts w:ascii="Times New Roman" w:eastAsiaTheme="minorHAnsi" w:hAnsi="Times New Roman" w:cs="Times New Roman"/>
                <w:sz w:val="18"/>
                <w:szCs w:val="18"/>
              </w:rPr>
              <w:t>poz</w:t>
            </w:r>
            <w:proofErr w:type="spellEnd"/>
            <w:r w:rsidRPr="00247940">
              <w:rPr>
                <w:rFonts w:ascii="Times New Roman" w:eastAsiaTheme="minorHAnsi" w:hAnsi="Times New Roman" w:cs="Times New Roman"/>
                <w:sz w:val="18"/>
                <w:szCs w:val="18"/>
              </w:rPr>
              <w:t xml:space="preserve"> 8884</w:t>
            </w:r>
            <w:r w:rsidR="0095454E" w:rsidRPr="00247940">
              <w:rPr>
                <w:rFonts w:ascii="Times New Roman" w:eastAsiaTheme="minorHAnsi" w:hAnsi="Times New Roman" w:cs="Times New Roman"/>
                <w:sz w:val="18"/>
                <w:szCs w:val="18"/>
              </w:rPr>
              <w:t>)</w:t>
            </w:r>
            <w:r w:rsidRPr="00247940">
              <w:rPr>
                <w:rFonts w:ascii="Times New Roman" w:eastAsiaTheme="minorHAnsi" w:hAnsi="Times New Roman" w:cs="Times New Roman"/>
                <w:sz w:val="18"/>
                <w:szCs w:val="18"/>
              </w:rPr>
              <w:t>.</w:t>
            </w:r>
          </w:p>
        </w:tc>
      </w:tr>
      <w:tr w:rsidR="00B569C0" w14:paraId="3A860D7C" w14:textId="77777777">
        <w:trPr>
          <w:trHeight w:val="722"/>
        </w:trPr>
        <w:tc>
          <w:tcPr>
            <w:tcW w:w="0" w:type="auto"/>
            <w:vMerge/>
            <w:tcBorders>
              <w:top w:val="nil"/>
              <w:left w:val="single" w:sz="4" w:space="0" w:color="000000"/>
              <w:bottom w:val="nil"/>
              <w:right w:val="single" w:sz="4" w:space="0" w:color="000000"/>
            </w:tcBorders>
          </w:tcPr>
          <w:p w14:paraId="316BA7E0"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A1402BC" w14:textId="77777777" w:rsidR="00B569C0" w:rsidRDefault="00861F37">
            <w:pPr>
              <w:ind w:left="2"/>
            </w:pPr>
            <w:r>
              <w:rPr>
                <w:rFonts w:ascii="Times New Roman" w:eastAsia="Times New Roman" w:hAnsi="Times New Roman" w:cs="Times New Roman"/>
                <w:sz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tcPr>
          <w:p w14:paraId="3CB9AF47" w14:textId="18B94F24" w:rsidR="00B569C0" w:rsidRDefault="00861F37">
            <w:pPr>
              <w:ind w:left="1"/>
            </w:pPr>
            <w:r>
              <w:rPr>
                <w:rFonts w:ascii="Times New Roman" w:eastAsia="Times New Roman" w:hAnsi="Times New Roman" w:cs="Times New Roman"/>
                <w:sz w:val="20"/>
              </w:rPr>
              <w:t xml:space="preserve"> </w:t>
            </w:r>
            <w:r w:rsidR="00F84711">
              <w:rPr>
                <w:rFonts w:ascii="Times New Roman" w:eastAsia="Times New Roman" w:hAnsi="Times New Roman" w:cs="Times New Roman"/>
                <w:sz w:val="20"/>
              </w:rPr>
              <w:t xml:space="preserve"> </w:t>
            </w:r>
            <w:r w:rsidR="00F84711" w:rsidRPr="00D64595">
              <w:rPr>
                <w:rFonts w:eastAsiaTheme="minorHAnsi"/>
                <w:b/>
                <w:bCs/>
                <w:sz w:val="18"/>
                <w:szCs w:val="18"/>
              </w:rPr>
              <w:t>§ 1</w:t>
            </w:r>
            <w:r w:rsidR="00F84711">
              <w:rPr>
                <w:rFonts w:eastAsiaTheme="minorHAnsi"/>
                <w:b/>
                <w:bCs/>
                <w:sz w:val="18"/>
                <w:szCs w:val="18"/>
              </w:rPr>
              <w:t>5</w:t>
            </w:r>
            <w:r w:rsidR="00F84711">
              <w:rPr>
                <w:rFonts w:ascii="Times New Roman" w:eastAsia="Times New Roman" w:hAnsi="Times New Roman" w:cs="Times New Roman"/>
                <w:sz w:val="20"/>
              </w:rPr>
              <w:t xml:space="preserve"> Uchwały nr XLVI/763/2010 Rady Miejskiej w Wieliczce z dnia 10 listopada 2010r</w:t>
            </w:r>
          </w:p>
        </w:tc>
      </w:tr>
      <w:tr w:rsidR="00B569C0" w14:paraId="5755BB75" w14:textId="77777777">
        <w:trPr>
          <w:trHeight w:val="988"/>
        </w:trPr>
        <w:tc>
          <w:tcPr>
            <w:tcW w:w="0" w:type="auto"/>
            <w:vMerge/>
            <w:tcBorders>
              <w:top w:val="nil"/>
              <w:left w:val="single" w:sz="4" w:space="0" w:color="000000"/>
              <w:bottom w:val="single" w:sz="4" w:space="0" w:color="000000"/>
              <w:right w:val="single" w:sz="4" w:space="0" w:color="000000"/>
            </w:tcBorders>
          </w:tcPr>
          <w:p w14:paraId="43C02DF5"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EAFD6A9" w14:textId="77777777" w:rsidR="00B569C0" w:rsidRDefault="00861F37">
            <w:pPr>
              <w:ind w:left="2"/>
            </w:pPr>
            <w:r>
              <w:rPr>
                <w:rFonts w:ascii="Times New Roman" w:eastAsia="Times New Roman" w:hAnsi="Times New Roman" w:cs="Times New Roman"/>
                <w:sz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7ACAF63F" w14:textId="3084CBAA" w:rsidR="00B569C0" w:rsidRDefault="00861F37">
            <w:pPr>
              <w:ind w:left="1"/>
            </w:pPr>
            <w:r>
              <w:rPr>
                <w:rFonts w:ascii="Times New Roman" w:eastAsia="Times New Roman" w:hAnsi="Times New Roman" w:cs="Times New Roman"/>
                <w:sz w:val="20"/>
              </w:rPr>
              <w:t xml:space="preserve"> </w:t>
            </w:r>
            <w:r w:rsidR="00124339">
              <w:rPr>
                <w:rFonts w:ascii="Times New Roman" w:eastAsia="Times New Roman" w:hAnsi="Times New Roman" w:cs="Times New Roman"/>
                <w:sz w:val="20"/>
              </w:rPr>
              <w:t xml:space="preserve"> </w:t>
            </w:r>
            <w:r w:rsidR="00124339" w:rsidRPr="00D64595">
              <w:rPr>
                <w:rFonts w:eastAsiaTheme="minorHAnsi"/>
                <w:b/>
                <w:bCs/>
                <w:sz w:val="18"/>
                <w:szCs w:val="18"/>
              </w:rPr>
              <w:t>§ 1</w:t>
            </w:r>
            <w:r w:rsidR="00124339">
              <w:rPr>
                <w:rFonts w:eastAsiaTheme="minorHAnsi"/>
                <w:b/>
                <w:bCs/>
                <w:sz w:val="18"/>
                <w:szCs w:val="18"/>
              </w:rPr>
              <w:t>6</w:t>
            </w:r>
            <w:r w:rsidR="00124339">
              <w:rPr>
                <w:rFonts w:ascii="Times New Roman" w:eastAsia="Times New Roman" w:hAnsi="Times New Roman" w:cs="Times New Roman"/>
                <w:sz w:val="20"/>
              </w:rPr>
              <w:t xml:space="preserve"> Uchwały nr XLVI/763/2010 Rady Miejskiej w Wieliczce z dnia 10 listopada 2010r</w:t>
            </w:r>
          </w:p>
        </w:tc>
      </w:tr>
      <w:tr w:rsidR="00B569C0" w14:paraId="44C48700" w14:textId="77777777">
        <w:trPr>
          <w:trHeight w:val="458"/>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F0558FD" w14:textId="77777777" w:rsidR="00B569C0" w:rsidRDefault="00861F37">
            <w:pPr>
              <w:ind w:right="50"/>
            </w:pPr>
            <w:r>
              <w:rPr>
                <w:rFonts w:ascii="Times New Roman" w:eastAsia="Times New Roman" w:hAnsi="Times New Roman" w:cs="Times New Roman"/>
                <w:sz w:val="20"/>
              </w:rPr>
              <w:t>Ustalenia obowiązującego miejscowego planu zagospodarowania przestrzennego 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5B33A173" w14:textId="77777777" w:rsidR="00B569C0" w:rsidRDefault="00861F37">
            <w:pPr>
              <w:ind w:left="2"/>
            </w:pPr>
            <w:r>
              <w:rPr>
                <w:rFonts w:ascii="Times New Roman" w:eastAsia="Times New Roman" w:hAnsi="Times New Roman" w:cs="Times New Roman"/>
                <w:sz w:val="20"/>
              </w:rPr>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tcPr>
          <w:p w14:paraId="31249C20" w14:textId="720BFA5D" w:rsidR="00600746" w:rsidRDefault="000937A4" w:rsidP="00600746">
            <w:pPr>
              <w:rPr>
                <w:rFonts w:ascii="Times New Roman" w:eastAsia="Times New Roman" w:hAnsi="Times New Roman" w:cs="Times New Roman"/>
                <w:sz w:val="20"/>
              </w:rPr>
            </w:pPr>
            <w:r>
              <w:rPr>
                <w:rFonts w:ascii="Times New Roman" w:eastAsia="Times New Roman" w:hAnsi="Times New Roman" w:cs="Times New Roman"/>
                <w:sz w:val="20"/>
              </w:rPr>
              <w:t>2US – tereny sportu i rekreacji</w:t>
            </w:r>
          </w:p>
          <w:p w14:paraId="5ADC6AC3" w14:textId="21623A5A" w:rsidR="000937A4" w:rsidRDefault="000937A4" w:rsidP="00600746">
            <w:pPr>
              <w:rPr>
                <w:rFonts w:ascii="Times New Roman" w:eastAsia="Times New Roman" w:hAnsi="Times New Roman" w:cs="Times New Roman"/>
                <w:sz w:val="20"/>
              </w:rPr>
            </w:pPr>
            <w:r>
              <w:rPr>
                <w:rFonts w:ascii="Times New Roman" w:eastAsia="Times New Roman" w:hAnsi="Times New Roman" w:cs="Times New Roman"/>
                <w:sz w:val="20"/>
              </w:rPr>
              <w:t>37KDL – drogi publiczne klasy lokalnej</w:t>
            </w:r>
          </w:p>
          <w:p w14:paraId="5A7CC311" w14:textId="1E05BAD2" w:rsidR="000937A4" w:rsidRPr="00E1460D" w:rsidRDefault="000937A4" w:rsidP="00600746">
            <w:pPr>
              <w:rPr>
                <w:rFonts w:ascii="Times New Roman" w:eastAsia="Times New Roman" w:hAnsi="Times New Roman" w:cs="Times New Roman"/>
                <w:sz w:val="20"/>
              </w:rPr>
            </w:pPr>
            <w:r>
              <w:rPr>
                <w:rFonts w:ascii="Times New Roman" w:eastAsia="Times New Roman" w:hAnsi="Times New Roman" w:cs="Times New Roman"/>
                <w:sz w:val="20"/>
              </w:rPr>
              <w:t>12Z – tereny zieleni nieurządzonej</w:t>
            </w:r>
          </w:p>
          <w:p w14:paraId="66C593D0" w14:textId="2983377F" w:rsidR="00B569C0" w:rsidRDefault="00B569C0">
            <w:pPr>
              <w:ind w:left="1"/>
            </w:pPr>
          </w:p>
        </w:tc>
      </w:tr>
      <w:tr w:rsidR="00B569C0" w14:paraId="65B8E7C7" w14:textId="77777777">
        <w:trPr>
          <w:trHeight w:val="724"/>
        </w:trPr>
        <w:tc>
          <w:tcPr>
            <w:tcW w:w="0" w:type="auto"/>
            <w:vMerge/>
            <w:tcBorders>
              <w:top w:val="nil"/>
              <w:left w:val="single" w:sz="4" w:space="0" w:color="000000"/>
              <w:bottom w:val="nil"/>
              <w:right w:val="single" w:sz="4" w:space="0" w:color="000000"/>
            </w:tcBorders>
          </w:tcPr>
          <w:p w14:paraId="427BEF2E"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7938BEF" w14:textId="77777777" w:rsidR="00B569C0" w:rsidRDefault="00861F37">
            <w:pPr>
              <w:ind w:left="2" w:right="37"/>
            </w:pPr>
            <w:r>
              <w:rPr>
                <w:rFonts w:ascii="Times New Roman" w:eastAsia="Times New Roman" w:hAnsi="Times New Roman" w:cs="Times New Roman"/>
                <w:sz w:val="20"/>
              </w:rPr>
              <w:t xml:space="preserve">Maksymalna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626C0998" w14:textId="02B54507"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5AAB8EEE" w14:textId="77777777">
        <w:trPr>
          <w:trHeight w:val="722"/>
        </w:trPr>
        <w:tc>
          <w:tcPr>
            <w:tcW w:w="0" w:type="auto"/>
            <w:vMerge/>
            <w:tcBorders>
              <w:top w:val="nil"/>
              <w:left w:val="single" w:sz="4" w:space="0" w:color="000000"/>
              <w:bottom w:val="nil"/>
              <w:right w:val="single" w:sz="4" w:space="0" w:color="000000"/>
            </w:tcBorders>
          </w:tcPr>
          <w:p w14:paraId="01A0BC2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E5EC524" w14:textId="77777777" w:rsidR="00B569C0" w:rsidRDefault="00861F37">
            <w:pPr>
              <w:ind w:left="2"/>
            </w:pPr>
            <w:r>
              <w:rPr>
                <w:rFonts w:ascii="Times New Roman" w:eastAsia="Times New Roman" w:hAnsi="Times New Roman" w:cs="Times New Roman"/>
                <w:sz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64BDA68E" w14:textId="692F5A38" w:rsidR="00B569C0" w:rsidRDefault="002406F1">
            <w:pPr>
              <w:ind w:left="1"/>
            </w:pPr>
            <w:r>
              <w:t>Nie dotyczy</w:t>
            </w:r>
          </w:p>
        </w:tc>
      </w:tr>
      <w:tr w:rsidR="00B569C0" w14:paraId="1DCAD354" w14:textId="77777777">
        <w:trPr>
          <w:trHeight w:val="458"/>
        </w:trPr>
        <w:tc>
          <w:tcPr>
            <w:tcW w:w="0" w:type="auto"/>
            <w:vMerge/>
            <w:tcBorders>
              <w:top w:val="nil"/>
              <w:left w:val="single" w:sz="4" w:space="0" w:color="000000"/>
              <w:bottom w:val="nil"/>
              <w:right w:val="single" w:sz="4" w:space="0" w:color="000000"/>
            </w:tcBorders>
          </w:tcPr>
          <w:p w14:paraId="029733DB"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DAD018A" w14:textId="77777777" w:rsidR="00B569C0" w:rsidRDefault="00861F37">
            <w:pPr>
              <w:ind w:left="2"/>
            </w:pPr>
            <w:r>
              <w:rPr>
                <w:rFonts w:ascii="Times New Roman" w:eastAsia="Times New Roman" w:hAnsi="Times New Roman" w:cs="Times New Roman"/>
                <w:sz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tcPr>
          <w:p w14:paraId="7121190C" w14:textId="0D6BBD0F" w:rsidR="00B569C0" w:rsidRDefault="00861F37">
            <w:pPr>
              <w:ind w:left="1"/>
            </w:pPr>
            <w:r>
              <w:rPr>
                <w:rFonts w:ascii="Times New Roman" w:eastAsia="Times New Roman" w:hAnsi="Times New Roman" w:cs="Times New Roman"/>
                <w:sz w:val="20"/>
              </w:rPr>
              <w:t xml:space="preserve"> </w:t>
            </w:r>
            <w:r w:rsidR="000937A4">
              <w:t>60%</w:t>
            </w:r>
          </w:p>
        </w:tc>
      </w:tr>
      <w:tr w:rsidR="00B569C0" w14:paraId="25A3DD5B" w14:textId="77777777">
        <w:trPr>
          <w:trHeight w:val="458"/>
        </w:trPr>
        <w:tc>
          <w:tcPr>
            <w:tcW w:w="0" w:type="auto"/>
            <w:vMerge/>
            <w:tcBorders>
              <w:top w:val="nil"/>
              <w:left w:val="single" w:sz="4" w:space="0" w:color="000000"/>
              <w:bottom w:val="nil"/>
              <w:right w:val="single" w:sz="4" w:space="0" w:color="000000"/>
            </w:tcBorders>
          </w:tcPr>
          <w:p w14:paraId="0919FBA3"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4D73F95" w14:textId="77777777" w:rsidR="00B569C0" w:rsidRDefault="00861F37">
            <w:pPr>
              <w:ind w:left="2"/>
            </w:pPr>
            <w:r>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tcPr>
          <w:p w14:paraId="10AF06C8" w14:textId="21CD8D65" w:rsidR="00B569C0" w:rsidRDefault="00861F37">
            <w:pPr>
              <w:ind w:left="1"/>
            </w:pPr>
            <w:r>
              <w:rPr>
                <w:rFonts w:ascii="Times New Roman" w:eastAsia="Times New Roman" w:hAnsi="Times New Roman" w:cs="Times New Roman"/>
                <w:sz w:val="20"/>
              </w:rPr>
              <w:t xml:space="preserve"> </w:t>
            </w:r>
            <w:r w:rsidR="000937A4">
              <w:t>11 m</w:t>
            </w:r>
          </w:p>
        </w:tc>
      </w:tr>
      <w:tr w:rsidR="00B569C0" w14:paraId="6A213F52" w14:textId="77777777">
        <w:trPr>
          <w:trHeight w:val="724"/>
        </w:trPr>
        <w:tc>
          <w:tcPr>
            <w:tcW w:w="0" w:type="auto"/>
            <w:vMerge/>
            <w:tcBorders>
              <w:top w:val="nil"/>
              <w:left w:val="single" w:sz="4" w:space="0" w:color="000000"/>
              <w:bottom w:val="nil"/>
              <w:right w:val="single" w:sz="4" w:space="0" w:color="000000"/>
            </w:tcBorders>
          </w:tcPr>
          <w:p w14:paraId="1A6FB67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AB7B4DE" w14:textId="77777777" w:rsidR="00B569C0" w:rsidRDefault="00861F37">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14:paraId="04A286FD" w14:textId="34A17960" w:rsidR="00B569C0" w:rsidRDefault="000937A4">
            <w:pPr>
              <w:ind w:left="1"/>
            </w:pPr>
            <w:r>
              <w:t>40%</w:t>
            </w:r>
          </w:p>
        </w:tc>
      </w:tr>
      <w:tr w:rsidR="00B569C0" w14:paraId="65903D1D" w14:textId="77777777">
        <w:trPr>
          <w:trHeight w:val="722"/>
        </w:trPr>
        <w:tc>
          <w:tcPr>
            <w:tcW w:w="0" w:type="auto"/>
            <w:vMerge/>
            <w:tcBorders>
              <w:top w:val="nil"/>
              <w:left w:val="single" w:sz="4" w:space="0" w:color="000000"/>
              <w:bottom w:val="single" w:sz="4" w:space="0" w:color="000000"/>
              <w:right w:val="single" w:sz="4" w:space="0" w:color="000000"/>
            </w:tcBorders>
          </w:tcPr>
          <w:p w14:paraId="18871B76"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12353C36" w14:textId="77777777" w:rsidR="00B569C0" w:rsidRDefault="00861F37">
            <w:pPr>
              <w:ind w:left="2" w:right="855"/>
            </w:pPr>
            <w:r>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tcPr>
          <w:p w14:paraId="1F539BE4" w14:textId="4FD8623A" w:rsidR="00B569C0" w:rsidRDefault="000937A4">
            <w:pPr>
              <w:ind w:left="1"/>
            </w:pPr>
            <w:r>
              <w:t>6</w:t>
            </w:r>
          </w:p>
        </w:tc>
      </w:tr>
      <w:tr w:rsidR="00B569C0" w14:paraId="2495303D" w14:textId="77777777">
        <w:trPr>
          <w:trHeight w:val="1409"/>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9855FB8" w14:textId="77777777" w:rsidR="00B569C0" w:rsidRDefault="00861F37">
            <w:pPr>
              <w:ind w:right="50"/>
            </w:pPr>
            <w:r>
              <w:rPr>
                <w:rFonts w:ascii="Times New Roman" w:eastAsia="Times New Roman" w:hAnsi="Times New Roman" w:cs="Times New Roman"/>
                <w:sz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6" w:type="dxa"/>
            <w:tcBorders>
              <w:top w:val="single" w:sz="4" w:space="0" w:color="000000"/>
              <w:left w:val="single" w:sz="4" w:space="0" w:color="000000"/>
              <w:bottom w:val="single" w:sz="4" w:space="0" w:color="000000"/>
              <w:right w:val="single" w:sz="4" w:space="0" w:color="000000"/>
            </w:tcBorders>
          </w:tcPr>
          <w:p w14:paraId="3CB5FC0C" w14:textId="77777777" w:rsidR="00B569C0" w:rsidRDefault="00861F37">
            <w:pPr>
              <w:ind w:left="2" w:right="939"/>
            </w:pPr>
            <w:r>
              <w:rPr>
                <w:rFonts w:ascii="Times New Roman" w:eastAsia="Times New Roman" w:hAnsi="Times New Roman" w:cs="Times New Roman"/>
                <w:sz w:val="20"/>
              </w:rPr>
              <w:t xml:space="preserve">Funkcja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2C9328E9" w14:textId="013BEE4B" w:rsidR="00B569C0" w:rsidRDefault="00861F37" w:rsidP="00FD5A3E">
            <w:r>
              <w:rPr>
                <w:rFonts w:ascii="Times New Roman" w:eastAsia="Times New Roman" w:hAnsi="Times New Roman" w:cs="Times New Roman"/>
                <w:sz w:val="20"/>
              </w:rPr>
              <w:t xml:space="preserve">Sposób użytkowania obiektów budowlanych oraz zagospodarowania terenu </w:t>
            </w:r>
          </w:p>
        </w:tc>
      </w:tr>
      <w:tr w:rsidR="00B569C0" w14:paraId="2FAA7D95" w14:textId="77777777">
        <w:trPr>
          <w:trHeight w:val="458"/>
        </w:trPr>
        <w:tc>
          <w:tcPr>
            <w:tcW w:w="0" w:type="auto"/>
            <w:vMerge/>
            <w:tcBorders>
              <w:top w:val="nil"/>
              <w:left w:val="single" w:sz="4" w:space="0" w:color="000000"/>
              <w:bottom w:val="nil"/>
              <w:right w:val="single" w:sz="4" w:space="0" w:color="000000"/>
            </w:tcBorders>
          </w:tcPr>
          <w:p w14:paraId="0A68537A" w14:textId="77777777" w:rsidR="00B569C0" w:rsidRDefault="00B569C0"/>
        </w:tc>
        <w:tc>
          <w:tcPr>
            <w:tcW w:w="6675" w:type="dxa"/>
            <w:gridSpan w:val="2"/>
            <w:tcBorders>
              <w:top w:val="single" w:sz="4" w:space="0" w:color="000000"/>
              <w:left w:val="single" w:sz="4" w:space="0" w:color="000000"/>
              <w:bottom w:val="single" w:sz="4" w:space="0" w:color="000000"/>
              <w:right w:val="single" w:sz="4" w:space="0" w:color="000000"/>
            </w:tcBorders>
          </w:tcPr>
          <w:p w14:paraId="5F573574" w14:textId="59433BB6" w:rsidR="00B569C0" w:rsidRDefault="00861F37">
            <w:pPr>
              <w:ind w:left="2"/>
            </w:pPr>
            <w:r>
              <w:rPr>
                <w:rFonts w:ascii="Times New Roman" w:eastAsia="Times New Roman" w:hAnsi="Times New Roman" w:cs="Times New Roman"/>
                <w:sz w:val="20"/>
              </w:rPr>
              <w:t xml:space="preserve">Cechy zabudowy i zagospodarowania terenu: </w:t>
            </w:r>
            <w:r w:rsidR="00C455DE">
              <w:rPr>
                <w:rFonts w:ascii="Times New Roman" w:eastAsia="Times New Roman" w:hAnsi="Times New Roman" w:cs="Times New Roman"/>
                <w:sz w:val="20"/>
              </w:rPr>
              <w:t>Nie dotyczy</w:t>
            </w:r>
          </w:p>
        </w:tc>
      </w:tr>
      <w:tr w:rsidR="00B569C0" w14:paraId="7CB40F90" w14:textId="77777777">
        <w:trPr>
          <w:trHeight w:val="458"/>
        </w:trPr>
        <w:tc>
          <w:tcPr>
            <w:tcW w:w="0" w:type="auto"/>
            <w:vMerge/>
            <w:tcBorders>
              <w:top w:val="nil"/>
              <w:left w:val="single" w:sz="4" w:space="0" w:color="000000"/>
              <w:bottom w:val="nil"/>
              <w:right w:val="single" w:sz="4" w:space="0" w:color="000000"/>
            </w:tcBorders>
          </w:tcPr>
          <w:p w14:paraId="3AA079D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96E4C13" w14:textId="77777777" w:rsidR="00B569C0" w:rsidRDefault="00861F37">
            <w:pPr>
              <w:ind w:left="2"/>
            </w:pPr>
            <w:r>
              <w:rPr>
                <w:rFonts w:ascii="Times New Roman" w:eastAsia="Times New Roman" w:hAnsi="Times New Roman" w:cs="Times New Roman"/>
                <w:sz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tcPr>
          <w:p w14:paraId="57694620" w14:textId="24A5E0DD"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396E2872" w14:textId="77777777">
        <w:trPr>
          <w:trHeight w:val="498"/>
        </w:trPr>
        <w:tc>
          <w:tcPr>
            <w:tcW w:w="0" w:type="auto"/>
            <w:vMerge/>
            <w:tcBorders>
              <w:top w:val="nil"/>
              <w:left w:val="single" w:sz="4" w:space="0" w:color="000000"/>
              <w:bottom w:val="nil"/>
              <w:right w:val="single" w:sz="4" w:space="0" w:color="000000"/>
            </w:tcBorders>
          </w:tcPr>
          <w:p w14:paraId="22C614A1"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4122E25" w14:textId="77777777" w:rsidR="00B569C0" w:rsidRDefault="00861F37">
            <w:pPr>
              <w:ind w:left="2"/>
            </w:pPr>
            <w:r>
              <w:rPr>
                <w:rFonts w:ascii="Times New Roman" w:eastAsia="Times New Roman" w:hAnsi="Times New Roman" w:cs="Times New Roman"/>
                <w:sz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tcPr>
          <w:p w14:paraId="68810A1F" w14:textId="2A11F6B9"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7C613D15" w14:textId="77777777">
        <w:trPr>
          <w:trHeight w:val="458"/>
        </w:trPr>
        <w:tc>
          <w:tcPr>
            <w:tcW w:w="0" w:type="auto"/>
            <w:vMerge/>
            <w:tcBorders>
              <w:top w:val="nil"/>
              <w:left w:val="single" w:sz="4" w:space="0" w:color="000000"/>
              <w:bottom w:val="nil"/>
              <w:right w:val="single" w:sz="4" w:space="0" w:color="000000"/>
            </w:tcBorders>
          </w:tcPr>
          <w:p w14:paraId="52126771"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7174593" w14:textId="77777777" w:rsidR="00B569C0" w:rsidRDefault="00861F37">
            <w:pPr>
              <w:ind w:left="2"/>
            </w:pPr>
            <w:r>
              <w:rPr>
                <w:rFonts w:ascii="Times New Roman" w:eastAsia="Times New Roman" w:hAnsi="Times New Roman" w:cs="Times New Roman"/>
                <w:sz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tcPr>
          <w:p w14:paraId="42D4E4FB" w14:textId="4E9081FF"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73D57DF6" w14:textId="77777777">
        <w:trPr>
          <w:trHeight w:val="458"/>
        </w:trPr>
        <w:tc>
          <w:tcPr>
            <w:tcW w:w="0" w:type="auto"/>
            <w:vMerge/>
            <w:tcBorders>
              <w:top w:val="nil"/>
              <w:left w:val="single" w:sz="4" w:space="0" w:color="000000"/>
              <w:bottom w:val="nil"/>
              <w:right w:val="single" w:sz="4" w:space="0" w:color="000000"/>
            </w:tcBorders>
          </w:tcPr>
          <w:p w14:paraId="39714EE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AECF2EC" w14:textId="77777777" w:rsidR="00B569C0" w:rsidRDefault="00861F37">
            <w:pPr>
              <w:ind w:left="2"/>
            </w:pPr>
            <w:r>
              <w:rPr>
                <w:rFonts w:ascii="Times New Roman" w:eastAsia="Times New Roman" w:hAnsi="Times New Roman" w:cs="Times New Roman"/>
                <w:sz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tcPr>
          <w:p w14:paraId="7F301D00" w14:textId="2CB02AA9"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4BB1C6E5" w14:textId="77777777">
        <w:trPr>
          <w:trHeight w:val="722"/>
        </w:trPr>
        <w:tc>
          <w:tcPr>
            <w:tcW w:w="0" w:type="auto"/>
            <w:vMerge/>
            <w:tcBorders>
              <w:top w:val="nil"/>
              <w:left w:val="single" w:sz="4" w:space="0" w:color="000000"/>
              <w:bottom w:val="single" w:sz="4" w:space="0" w:color="000000"/>
              <w:right w:val="single" w:sz="4" w:space="0" w:color="000000"/>
            </w:tcBorders>
          </w:tcPr>
          <w:p w14:paraId="604E3509"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3557F0D" w14:textId="77777777" w:rsidR="00B569C0" w:rsidRDefault="00861F37">
            <w:pPr>
              <w:ind w:left="2" w:right="50"/>
            </w:pPr>
            <w:r>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14:paraId="71F7D4F6" w14:textId="1BECD9E1" w:rsidR="00B569C0" w:rsidRDefault="00861F37">
            <w:pPr>
              <w:ind w:left="1"/>
            </w:pPr>
            <w:r>
              <w:rPr>
                <w:rFonts w:ascii="Times New Roman" w:eastAsia="Times New Roman" w:hAnsi="Times New Roman" w:cs="Times New Roman"/>
                <w:sz w:val="20"/>
              </w:rPr>
              <w:t xml:space="preserve"> </w:t>
            </w:r>
            <w:r w:rsidR="002406F1">
              <w:t>Nie dotyczy</w:t>
            </w:r>
          </w:p>
        </w:tc>
      </w:tr>
    </w:tbl>
    <w:p w14:paraId="7E281DD3" w14:textId="77777777" w:rsidR="00B569C0" w:rsidRDefault="00B569C0">
      <w:pPr>
        <w:spacing w:after="0"/>
        <w:ind w:left="-1020" w:right="216"/>
      </w:pPr>
    </w:p>
    <w:tbl>
      <w:tblPr>
        <w:tblStyle w:val="TableGrid"/>
        <w:tblW w:w="9646" w:type="dxa"/>
        <w:tblInd w:w="6" w:type="dxa"/>
        <w:tblCellMar>
          <w:top w:w="52" w:type="dxa"/>
          <w:left w:w="107" w:type="dxa"/>
          <w:right w:w="92" w:type="dxa"/>
        </w:tblCellMar>
        <w:tblLook w:val="04A0" w:firstRow="1" w:lastRow="0" w:firstColumn="1" w:lastColumn="0" w:noHBand="0" w:noVBand="1"/>
      </w:tblPr>
      <w:tblGrid>
        <w:gridCol w:w="2971"/>
        <w:gridCol w:w="3256"/>
        <w:gridCol w:w="3419"/>
      </w:tblGrid>
      <w:tr w:rsidR="00B569C0" w14:paraId="2AE5A1A1" w14:textId="77777777">
        <w:trPr>
          <w:trHeight w:val="1250"/>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40D114D"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645D954E" w14:textId="77777777" w:rsidR="00B569C0" w:rsidRDefault="00861F37">
            <w:pPr>
              <w:ind w:left="2" w:right="233"/>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7535C579" w14:textId="117D72F2"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56D88607" w14:textId="77777777">
        <w:trPr>
          <w:trHeight w:val="988"/>
        </w:trPr>
        <w:tc>
          <w:tcPr>
            <w:tcW w:w="0" w:type="auto"/>
            <w:vMerge/>
            <w:tcBorders>
              <w:top w:val="nil"/>
              <w:left w:val="single" w:sz="4" w:space="0" w:color="000000"/>
              <w:bottom w:val="nil"/>
              <w:right w:val="single" w:sz="4" w:space="0" w:color="000000"/>
            </w:tcBorders>
          </w:tcPr>
          <w:p w14:paraId="46765BE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5B09285" w14:textId="77777777" w:rsidR="00B569C0" w:rsidRDefault="00861F37">
            <w:pPr>
              <w:ind w:left="2" w:right="550"/>
            </w:pPr>
            <w:r>
              <w:rPr>
                <w:rFonts w:ascii="Times New Roman" w:eastAsia="Times New Roman" w:hAnsi="Times New Roman" w:cs="Times New Roman"/>
                <w:sz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F1DDD9" w14:textId="280701B1"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7E11A970" w14:textId="77777777">
        <w:trPr>
          <w:trHeight w:val="1252"/>
        </w:trPr>
        <w:tc>
          <w:tcPr>
            <w:tcW w:w="0" w:type="auto"/>
            <w:vMerge/>
            <w:tcBorders>
              <w:top w:val="nil"/>
              <w:left w:val="single" w:sz="4" w:space="0" w:color="000000"/>
              <w:bottom w:val="nil"/>
              <w:right w:val="single" w:sz="4" w:space="0" w:color="000000"/>
            </w:tcBorders>
          </w:tcPr>
          <w:p w14:paraId="4B9A9D39"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58E7604" w14:textId="77777777" w:rsidR="00B569C0" w:rsidRDefault="00861F37">
            <w:pPr>
              <w:ind w:left="2"/>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455236EB" w14:textId="2492D128"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2BE8B643" w14:textId="77777777">
        <w:trPr>
          <w:trHeight w:val="722"/>
        </w:trPr>
        <w:tc>
          <w:tcPr>
            <w:tcW w:w="0" w:type="auto"/>
            <w:vMerge/>
            <w:tcBorders>
              <w:top w:val="nil"/>
              <w:left w:val="single" w:sz="4" w:space="0" w:color="000000"/>
              <w:bottom w:val="nil"/>
              <w:right w:val="single" w:sz="4" w:space="0" w:color="000000"/>
            </w:tcBorders>
          </w:tcPr>
          <w:p w14:paraId="069E2640"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C2E22C3" w14:textId="77777777" w:rsidR="00B569C0" w:rsidRDefault="00861F37">
            <w:pPr>
              <w:ind w:left="2"/>
            </w:pPr>
            <w:r>
              <w:rPr>
                <w:rFonts w:ascii="Times New Roman" w:eastAsia="Times New Roman" w:hAnsi="Times New Roman" w:cs="Times New Roman"/>
                <w:sz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tcPr>
          <w:p w14:paraId="10F897EA" w14:textId="41F95FD9"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3DE9271B" w14:textId="77777777">
        <w:trPr>
          <w:trHeight w:val="988"/>
        </w:trPr>
        <w:tc>
          <w:tcPr>
            <w:tcW w:w="0" w:type="auto"/>
            <w:vMerge/>
            <w:tcBorders>
              <w:top w:val="nil"/>
              <w:left w:val="single" w:sz="4" w:space="0" w:color="000000"/>
              <w:bottom w:val="nil"/>
              <w:right w:val="single" w:sz="4" w:space="0" w:color="000000"/>
            </w:tcBorders>
          </w:tcPr>
          <w:p w14:paraId="19A5026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6A5A0FFE" w14:textId="40B03C55" w:rsidR="00B569C0" w:rsidRDefault="00861F37">
            <w:pPr>
              <w:ind w:left="2"/>
            </w:pPr>
            <w:r>
              <w:rPr>
                <w:rFonts w:ascii="Times New Roman" w:eastAsia="Times New Roman" w:hAnsi="Times New Roman" w:cs="Times New Roman"/>
                <w:sz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1C2476AA" w14:textId="7DC9A912"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365493F3" w14:textId="77777777">
        <w:trPr>
          <w:trHeight w:val="724"/>
        </w:trPr>
        <w:tc>
          <w:tcPr>
            <w:tcW w:w="0" w:type="auto"/>
            <w:vMerge/>
            <w:tcBorders>
              <w:top w:val="nil"/>
              <w:left w:val="single" w:sz="4" w:space="0" w:color="000000"/>
              <w:bottom w:val="nil"/>
              <w:right w:val="single" w:sz="4" w:space="0" w:color="000000"/>
            </w:tcBorders>
          </w:tcPr>
          <w:p w14:paraId="348E1E5C"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B2F8A4F" w14:textId="77777777" w:rsidR="00B569C0" w:rsidRDefault="00861F37">
            <w:pPr>
              <w:ind w:left="2"/>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14:paraId="79D9DF33" w14:textId="7DB1C4CE"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153BB228" w14:textId="77777777">
        <w:trPr>
          <w:trHeight w:val="458"/>
        </w:trPr>
        <w:tc>
          <w:tcPr>
            <w:tcW w:w="0" w:type="auto"/>
            <w:vMerge/>
            <w:tcBorders>
              <w:top w:val="nil"/>
              <w:left w:val="single" w:sz="4" w:space="0" w:color="000000"/>
              <w:bottom w:val="nil"/>
              <w:right w:val="single" w:sz="4" w:space="0" w:color="000000"/>
            </w:tcBorders>
          </w:tcPr>
          <w:p w14:paraId="65BCA4D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110BFA70" w14:textId="77777777" w:rsidR="00B569C0" w:rsidRDefault="00861F37">
            <w:pPr>
              <w:ind w:left="2"/>
            </w:pPr>
            <w:r>
              <w:rPr>
                <w:rFonts w:ascii="Times New Roman" w:eastAsia="Times New Roman" w:hAnsi="Times New Roman" w:cs="Times New Roman"/>
                <w:sz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13934E9E" w14:textId="5B723EDE"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2713BB54" w14:textId="77777777">
        <w:trPr>
          <w:trHeight w:val="458"/>
        </w:trPr>
        <w:tc>
          <w:tcPr>
            <w:tcW w:w="0" w:type="auto"/>
            <w:vMerge/>
            <w:tcBorders>
              <w:top w:val="nil"/>
              <w:left w:val="single" w:sz="4" w:space="0" w:color="000000"/>
              <w:bottom w:val="single" w:sz="4" w:space="0" w:color="000000"/>
              <w:right w:val="single" w:sz="4" w:space="0" w:color="000000"/>
            </w:tcBorders>
          </w:tcPr>
          <w:p w14:paraId="2E2E693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58673A3" w14:textId="77777777" w:rsidR="00B569C0" w:rsidRDefault="00861F37">
            <w:pPr>
              <w:ind w:left="2"/>
            </w:pPr>
            <w:r>
              <w:rPr>
                <w:rFonts w:ascii="Times New Roman" w:eastAsia="Times New Roman" w:hAnsi="Times New Roman" w:cs="Times New Roman"/>
                <w:sz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tcPr>
          <w:p w14:paraId="520F1133" w14:textId="53010DD7" w:rsidR="00B569C0" w:rsidRDefault="00861F37">
            <w:pPr>
              <w:ind w:left="1"/>
            </w:pPr>
            <w:r>
              <w:rPr>
                <w:rFonts w:ascii="Times New Roman" w:eastAsia="Times New Roman" w:hAnsi="Times New Roman" w:cs="Times New Roman"/>
                <w:sz w:val="20"/>
              </w:rPr>
              <w:t xml:space="preserve"> </w:t>
            </w:r>
            <w:r w:rsidR="002406F1">
              <w:t>Nie dotyczy</w:t>
            </w:r>
          </w:p>
        </w:tc>
      </w:tr>
      <w:tr w:rsidR="00B569C0" w14:paraId="11672DF9" w14:textId="77777777">
        <w:trPr>
          <w:trHeight w:val="72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B064B46" w14:textId="77777777" w:rsidR="00B569C0" w:rsidRDefault="00861F37">
            <w:pPr>
              <w:ind w:right="427"/>
            </w:pPr>
            <w:r>
              <w:rPr>
                <w:rFonts w:ascii="Times New Roman" w:eastAsia="Times New Roman" w:hAnsi="Times New Roman" w:cs="Times New Roman"/>
                <w:sz w:val="20"/>
              </w:rPr>
              <w:t>Informacje dotyczące przewidzianych inwestycji w promieniu 1 km od terenu objętego przedsięwzięciem deweloperskim lub zadaniem inwestycyjnym</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zawarte w: </w:t>
            </w:r>
          </w:p>
        </w:tc>
        <w:tc>
          <w:tcPr>
            <w:tcW w:w="3256" w:type="dxa"/>
            <w:tcBorders>
              <w:top w:val="single" w:sz="4" w:space="0" w:color="000000"/>
              <w:left w:val="single" w:sz="4" w:space="0" w:color="000000"/>
              <w:bottom w:val="single" w:sz="4" w:space="0" w:color="000000"/>
              <w:right w:val="single" w:sz="4" w:space="0" w:color="000000"/>
            </w:tcBorders>
          </w:tcPr>
          <w:p w14:paraId="7B829A63" w14:textId="77777777" w:rsidR="00B569C0" w:rsidRDefault="00861F37">
            <w:pPr>
              <w:spacing w:after="14"/>
              <w:ind w:left="2"/>
            </w:pPr>
            <w:r>
              <w:rPr>
                <w:rFonts w:ascii="Times New Roman" w:eastAsia="Times New Roman" w:hAnsi="Times New Roman" w:cs="Times New Roman"/>
                <w:sz w:val="20"/>
              </w:rPr>
              <w:t xml:space="preserve">miejscowych planach </w:t>
            </w:r>
          </w:p>
          <w:p w14:paraId="5C69BFA0" w14:textId="77777777" w:rsidR="00B569C0" w:rsidRDefault="00861F37">
            <w:pPr>
              <w:ind w:left="2"/>
            </w:pPr>
            <w:r>
              <w:rPr>
                <w:rFonts w:ascii="Times New Roman" w:eastAsia="Times New Roman" w:hAnsi="Times New Roman" w:cs="Times New Roman"/>
                <w:sz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tcPr>
          <w:p w14:paraId="18154D2D" w14:textId="61413E90" w:rsidR="009F5CFA" w:rsidRPr="009F5CFA" w:rsidRDefault="009F5CFA" w:rsidP="009F5CFA">
            <w:pPr>
              <w:rPr>
                <w:rFonts w:ascii="Times New Roman" w:eastAsia="Times New Roman" w:hAnsi="Times New Roman" w:cs="Times New Roman"/>
                <w:sz w:val="20"/>
              </w:rPr>
            </w:pPr>
            <w:r>
              <w:rPr>
                <w:rFonts w:ascii="Times New Roman" w:eastAsia="Times New Roman" w:hAnsi="Times New Roman" w:cs="Times New Roman"/>
                <w:sz w:val="20"/>
              </w:rPr>
              <w:t>Uchwała nr XLVI/763/2010 Rady Miejskiej w Wieliczce z dnia 10 listopada 2010r.</w:t>
            </w:r>
          </w:p>
          <w:p w14:paraId="5FE93A1C" w14:textId="043E7637" w:rsidR="00B569C0" w:rsidRPr="007552C0" w:rsidRDefault="00B569C0">
            <w:pPr>
              <w:ind w:left="1"/>
              <w:rPr>
                <w:color w:val="EE0000"/>
              </w:rPr>
            </w:pPr>
          </w:p>
        </w:tc>
      </w:tr>
      <w:tr w:rsidR="00B569C0" w14:paraId="604A35BE" w14:textId="77777777">
        <w:trPr>
          <w:trHeight w:val="613"/>
        </w:trPr>
        <w:tc>
          <w:tcPr>
            <w:tcW w:w="0" w:type="auto"/>
            <w:vMerge/>
            <w:tcBorders>
              <w:top w:val="nil"/>
              <w:left w:val="single" w:sz="4" w:space="0" w:color="000000"/>
              <w:bottom w:val="nil"/>
              <w:right w:val="single" w:sz="4" w:space="0" w:color="000000"/>
            </w:tcBorders>
          </w:tcPr>
          <w:p w14:paraId="3E5B6F3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54C66EF1" w14:textId="77777777" w:rsidR="00B569C0" w:rsidRDefault="00861F37">
            <w:pPr>
              <w:ind w:left="2" w:right="200"/>
            </w:pPr>
            <w:r>
              <w:rPr>
                <w:rFonts w:ascii="Times New Roman" w:eastAsia="Times New Roman" w:hAnsi="Times New Roman" w:cs="Times New Roman"/>
                <w:sz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5B9AE4D9" w14:textId="1E17578A" w:rsidR="00B569C0" w:rsidRPr="00581423" w:rsidRDefault="00581423" w:rsidP="00581423">
            <w:pPr>
              <w:rPr>
                <w:color w:val="000000" w:themeColor="text1"/>
              </w:rPr>
            </w:pPr>
            <w:r>
              <w:rPr>
                <w:color w:val="000000" w:themeColor="text1"/>
              </w:rPr>
              <w:t>Brak</w:t>
            </w:r>
          </w:p>
        </w:tc>
      </w:tr>
      <w:tr w:rsidR="00B569C0" w14:paraId="728D5F3F" w14:textId="77777777">
        <w:trPr>
          <w:trHeight w:val="580"/>
        </w:trPr>
        <w:tc>
          <w:tcPr>
            <w:tcW w:w="0" w:type="auto"/>
            <w:vMerge/>
            <w:tcBorders>
              <w:top w:val="nil"/>
              <w:left w:val="single" w:sz="4" w:space="0" w:color="000000"/>
              <w:bottom w:val="nil"/>
              <w:right w:val="single" w:sz="4" w:space="0" w:color="000000"/>
            </w:tcBorders>
          </w:tcPr>
          <w:p w14:paraId="19FC9CDB"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B1A4771" w14:textId="77777777" w:rsidR="00B569C0" w:rsidRDefault="00861F37">
            <w:pPr>
              <w:ind w:left="2"/>
            </w:pPr>
            <w:r>
              <w:rPr>
                <w:rFonts w:ascii="Times New Roman" w:eastAsia="Times New Roman" w:hAnsi="Times New Roman" w:cs="Times New Roman"/>
                <w:sz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tcPr>
          <w:p w14:paraId="0A337147" w14:textId="24F05F1C" w:rsidR="00B569C0" w:rsidRDefault="00581423">
            <w:pPr>
              <w:ind w:left="1"/>
            </w:pPr>
            <w:r>
              <w:t>Brak</w:t>
            </w:r>
          </w:p>
        </w:tc>
      </w:tr>
      <w:tr w:rsidR="00B569C0" w14:paraId="5E68FA59" w14:textId="77777777">
        <w:trPr>
          <w:trHeight w:val="722"/>
        </w:trPr>
        <w:tc>
          <w:tcPr>
            <w:tcW w:w="0" w:type="auto"/>
            <w:vMerge/>
            <w:tcBorders>
              <w:top w:val="nil"/>
              <w:left w:val="single" w:sz="4" w:space="0" w:color="000000"/>
              <w:bottom w:val="nil"/>
              <w:right w:val="single" w:sz="4" w:space="0" w:color="000000"/>
            </w:tcBorders>
          </w:tcPr>
          <w:p w14:paraId="348BE56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5EC8172" w14:textId="77777777" w:rsidR="00B569C0" w:rsidRDefault="00861F37">
            <w:pPr>
              <w:ind w:left="2"/>
            </w:pPr>
            <w:r>
              <w:rPr>
                <w:rFonts w:ascii="Times New Roman" w:eastAsia="Times New Roman" w:hAnsi="Times New Roman" w:cs="Times New Roman"/>
                <w:sz w:val="20"/>
              </w:rPr>
              <w:t xml:space="preserve">uchwałach o obszarach ograniczonego użytkowania </w:t>
            </w:r>
          </w:p>
        </w:tc>
        <w:tc>
          <w:tcPr>
            <w:tcW w:w="3419" w:type="dxa"/>
            <w:tcBorders>
              <w:top w:val="single" w:sz="4" w:space="0" w:color="000000"/>
              <w:left w:val="single" w:sz="4" w:space="0" w:color="000000"/>
              <w:bottom w:val="single" w:sz="4" w:space="0" w:color="000000"/>
              <w:right w:val="single" w:sz="4" w:space="0" w:color="000000"/>
            </w:tcBorders>
          </w:tcPr>
          <w:p w14:paraId="0D2EFB3D" w14:textId="072E7CD3" w:rsidR="00B569C0" w:rsidRDefault="00581423">
            <w:pPr>
              <w:ind w:left="1"/>
            </w:pPr>
            <w:r>
              <w:rPr>
                <w:rFonts w:ascii="Times New Roman" w:eastAsia="Times New Roman" w:hAnsi="Times New Roman" w:cs="Times New Roman"/>
                <w:sz w:val="20"/>
              </w:rPr>
              <w:t>Bra</w:t>
            </w:r>
            <w:r w:rsidR="001C4440">
              <w:rPr>
                <w:rFonts w:ascii="Times New Roman" w:eastAsia="Times New Roman" w:hAnsi="Times New Roman" w:cs="Times New Roman"/>
                <w:sz w:val="20"/>
              </w:rPr>
              <w:t>k</w:t>
            </w:r>
          </w:p>
        </w:tc>
      </w:tr>
      <w:tr w:rsidR="00B569C0" w14:paraId="24973634" w14:textId="77777777">
        <w:trPr>
          <w:trHeight w:val="458"/>
        </w:trPr>
        <w:tc>
          <w:tcPr>
            <w:tcW w:w="0" w:type="auto"/>
            <w:vMerge/>
            <w:tcBorders>
              <w:top w:val="nil"/>
              <w:left w:val="single" w:sz="4" w:space="0" w:color="000000"/>
              <w:bottom w:val="nil"/>
              <w:right w:val="single" w:sz="4" w:space="0" w:color="000000"/>
            </w:tcBorders>
          </w:tcPr>
          <w:p w14:paraId="7C59021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DB243C8" w14:textId="77777777" w:rsidR="00B569C0" w:rsidRDefault="00861F37">
            <w:pPr>
              <w:ind w:left="2"/>
            </w:pPr>
            <w:r>
              <w:rPr>
                <w:rFonts w:ascii="Times New Roman" w:eastAsia="Times New Roman" w:hAnsi="Times New Roman" w:cs="Times New Roman"/>
                <w:sz w:val="20"/>
              </w:rPr>
              <w:t xml:space="preserve">miejscowych planach odbudowy </w:t>
            </w:r>
          </w:p>
        </w:tc>
        <w:tc>
          <w:tcPr>
            <w:tcW w:w="3419" w:type="dxa"/>
            <w:tcBorders>
              <w:top w:val="single" w:sz="4" w:space="0" w:color="000000"/>
              <w:left w:val="single" w:sz="4" w:space="0" w:color="000000"/>
              <w:bottom w:val="single" w:sz="4" w:space="0" w:color="000000"/>
              <w:right w:val="single" w:sz="4" w:space="0" w:color="000000"/>
            </w:tcBorders>
          </w:tcPr>
          <w:p w14:paraId="3ADF539B" w14:textId="611907F6" w:rsidR="00B569C0" w:rsidRDefault="001C4440">
            <w:pPr>
              <w:ind w:left="1"/>
            </w:pPr>
            <w:r>
              <w:t>Brak</w:t>
            </w:r>
          </w:p>
        </w:tc>
      </w:tr>
      <w:tr w:rsidR="00B569C0" w14:paraId="2AE05C5F" w14:textId="77777777">
        <w:trPr>
          <w:trHeight w:val="724"/>
        </w:trPr>
        <w:tc>
          <w:tcPr>
            <w:tcW w:w="0" w:type="auto"/>
            <w:vMerge/>
            <w:tcBorders>
              <w:top w:val="nil"/>
              <w:left w:val="single" w:sz="4" w:space="0" w:color="000000"/>
              <w:bottom w:val="nil"/>
              <w:right w:val="single" w:sz="4" w:space="0" w:color="000000"/>
            </w:tcBorders>
          </w:tcPr>
          <w:p w14:paraId="58073B03"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86FBEEE" w14:textId="77777777" w:rsidR="00B569C0" w:rsidRDefault="00861F37">
            <w:pPr>
              <w:ind w:left="2" w:right="138"/>
            </w:pPr>
            <w:r>
              <w:rPr>
                <w:rFonts w:ascii="Times New Roman" w:eastAsia="Times New Roman" w:hAnsi="Times New Roman" w:cs="Times New Roman"/>
                <w:sz w:val="20"/>
              </w:rPr>
              <w:t xml:space="preserve">mapach zagrożenia powodziowego i mapach ryzyka powodziowego </w:t>
            </w:r>
          </w:p>
        </w:tc>
        <w:tc>
          <w:tcPr>
            <w:tcW w:w="3419" w:type="dxa"/>
            <w:tcBorders>
              <w:top w:val="single" w:sz="4" w:space="0" w:color="000000"/>
              <w:left w:val="single" w:sz="4" w:space="0" w:color="000000"/>
              <w:bottom w:val="single" w:sz="4" w:space="0" w:color="000000"/>
              <w:right w:val="single" w:sz="4" w:space="0" w:color="000000"/>
            </w:tcBorders>
          </w:tcPr>
          <w:p w14:paraId="61FC65F5" w14:textId="32C6A8A4" w:rsidR="00B569C0" w:rsidRDefault="001C4440">
            <w:pPr>
              <w:ind w:left="1"/>
            </w:pPr>
            <w:r>
              <w:rPr>
                <w:rFonts w:ascii="Times New Roman" w:eastAsia="Times New Roman" w:hAnsi="Times New Roman" w:cs="Times New Roman"/>
                <w:sz w:val="20"/>
              </w:rPr>
              <w:t>Brak</w:t>
            </w:r>
          </w:p>
        </w:tc>
      </w:tr>
      <w:tr w:rsidR="00B569C0" w14:paraId="548E2CAC" w14:textId="77777777">
        <w:trPr>
          <w:trHeight w:val="844"/>
        </w:trPr>
        <w:tc>
          <w:tcPr>
            <w:tcW w:w="0" w:type="auto"/>
            <w:vMerge/>
            <w:tcBorders>
              <w:top w:val="nil"/>
              <w:left w:val="single" w:sz="4" w:space="0" w:color="000000"/>
              <w:bottom w:val="nil"/>
              <w:right w:val="single" w:sz="4" w:space="0" w:color="000000"/>
            </w:tcBorders>
          </w:tcPr>
          <w:p w14:paraId="7C445F5B" w14:textId="77777777" w:rsidR="00B569C0" w:rsidRDefault="00B569C0"/>
        </w:tc>
        <w:tc>
          <w:tcPr>
            <w:tcW w:w="6675" w:type="dxa"/>
            <w:gridSpan w:val="2"/>
            <w:tcBorders>
              <w:top w:val="single" w:sz="4" w:space="0" w:color="000000"/>
              <w:left w:val="single" w:sz="4" w:space="0" w:color="000000"/>
              <w:bottom w:val="single" w:sz="4" w:space="0" w:color="000000"/>
              <w:right w:val="single" w:sz="4" w:space="0" w:color="000000"/>
            </w:tcBorders>
          </w:tcPr>
          <w:p w14:paraId="660B24C3" w14:textId="77777777" w:rsidR="00B569C0" w:rsidRDefault="00861F37">
            <w:pPr>
              <w:ind w:left="2"/>
            </w:pPr>
            <w:r>
              <w:rPr>
                <w:rFonts w:ascii="Times New Roman" w:eastAsia="Times New Roman" w:hAnsi="Times New Roman" w:cs="Times New Roman"/>
                <w:sz w:val="20"/>
              </w:rPr>
              <w:t xml:space="preserve">Ustalenia decyzji w zakresie rozmieszczenia inwestycji celu publicznego, mogące mieć znaczenie dla terenu objętego przedsięwzięciem deweloperskim lub zadaniem inwestycyjnym: </w:t>
            </w:r>
          </w:p>
        </w:tc>
      </w:tr>
      <w:tr w:rsidR="00B569C0" w14:paraId="68F81224" w14:textId="77777777">
        <w:trPr>
          <w:trHeight w:val="578"/>
        </w:trPr>
        <w:tc>
          <w:tcPr>
            <w:tcW w:w="0" w:type="auto"/>
            <w:vMerge/>
            <w:tcBorders>
              <w:top w:val="nil"/>
              <w:left w:val="single" w:sz="4" w:space="0" w:color="000000"/>
              <w:bottom w:val="nil"/>
              <w:right w:val="single" w:sz="4" w:space="0" w:color="000000"/>
            </w:tcBorders>
          </w:tcPr>
          <w:p w14:paraId="6D54A889"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63D278BE" w14:textId="77777777" w:rsidR="00B569C0" w:rsidRDefault="00861F37">
            <w:pPr>
              <w:ind w:left="2"/>
            </w:pPr>
            <w:r>
              <w:rPr>
                <w:rFonts w:ascii="Times New Roman" w:eastAsia="Times New Roman" w:hAnsi="Times New Roman" w:cs="Times New Roman"/>
                <w:sz w:val="20"/>
              </w:rPr>
              <w:t xml:space="preserve">decyzja o zezwoleniu na realizację inwestycji drogowej </w:t>
            </w:r>
          </w:p>
        </w:tc>
        <w:tc>
          <w:tcPr>
            <w:tcW w:w="3419" w:type="dxa"/>
            <w:tcBorders>
              <w:top w:val="single" w:sz="4" w:space="0" w:color="000000"/>
              <w:left w:val="single" w:sz="4" w:space="0" w:color="000000"/>
              <w:bottom w:val="single" w:sz="4" w:space="0" w:color="000000"/>
              <w:right w:val="single" w:sz="4" w:space="0" w:color="000000"/>
            </w:tcBorders>
          </w:tcPr>
          <w:p w14:paraId="04B3B9EF" w14:textId="6CC65ADC" w:rsidR="00B569C0" w:rsidRDefault="00AE0BC7">
            <w:pPr>
              <w:ind w:left="1"/>
            </w:pPr>
            <w:r>
              <w:t>1.</w:t>
            </w:r>
            <w:r w:rsidR="0096434C">
              <w:t xml:space="preserve"> </w:t>
            </w:r>
            <w:r>
              <w:t>Rozbudowa drogi gminnej ul Chabrowa w Wieliczce w km</w:t>
            </w:r>
            <w:r w:rsidR="00F11C3C">
              <w:t xml:space="preserve"> </w:t>
            </w:r>
            <w:r>
              <w:t>od 0+000,0-0+404,3</w:t>
            </w:r>
          </w:p>
          <w:p w14:paraId="3F758346" w14:textId="68B46CFF" w:rsidR="00AE0BC7" w:rsidRDefault="00AE0BC7">
            <w:pPr>
              <w:ind w:left="1"/>
            </w:pPr>
            <w:r>
              <w:t>2.</w:t>
            </w:r>
            <w:r w:rsidR="0096434C">
              <w:t xml:space="preserve"> </w:t>
            </w:r>
            <w:r>
              <w:t>Rozbudowa drogi gminnej nr 560813K -ul Różana w Wieliczce.</w:t>
            </w:r>
          </w:p>
          <w:p w14:paraId="13A6FECD" w14:textId="21E1A645" w:rsidR="00AE0BC7" w:rsidRDefault="00AE0BC7">
            <w:pPr>
              <w:ind w:left="1"/>
            </w:pPr>
            <w:r>
              <w:t>3.</w:t>
            </w:r>
            <w:r w:rsidR="0096434C">
              <w:t xml:space="preserve"> </w:t>
            </w:r>
            <w:r>
              <w:t>Rozbudowa drogi gminnej nr 561148K.</w:t>
            </w:r>
          </w:p>
          <w:p w14:paraId="5C5E881C" w14:textId="77777777" w:rsidR="00AE0BC7" w:rsidRDefault="00AE0BC7">
            <w:pPr>
              <w:ind w:left="1"/>
            </w:pPr>
          </w:p>
          <w:p w14:paraId="1C6EFD4C" w14:textId="66B847B2" w:rsidR="00AE0BC7" w:rsidRDefault="00AE0BC7" w:rsidP="00AE0BC7"/>
        </w:tc>
      </w:tr>
      <w:tr w:rsidR="00B569C0" w14:paraId="75FFFA95" w14:textId="77777777">
        <w:trPr>
          <w:trHeight w:val="722"/>
        </w:trPr>
        <w:tc>
          <w:tcPr>
            <w:tcW w:w="0" w:type="auto"/>
            <w:vMerge/>
            <w:tcBorders>
              <w:top w:val="nil"/>
              <w:left w:val="single" w:sz="4" w:space="0" w:color="000000"/>
              <w:bottom w:val="single" w:sz="4" w:space="0" w:color="000000"/>
              <w:right w:val="single" w:sz="4" w:space="0" w:color="000000"/>
            </w:tcBorders>
          </w:tcPr>
          <w:p w14:paraId="0FDCDE80"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7508BCD" w14:textId="77777777" w:rsidR="00B569C0" w:rsidRDefault="00861F37">
            <w:pPr>
              <w:ind w:left="2"/>
            </w:pPr>
            <w:r>
              <w:rPr>
                <w:rFonts w:ascii="Times New Roman" w:eastAsia="Times New Roman" w:hAnsi="Times New Roman" w:cs="Times New Roman"/>
                <w:sz w:val="20"/>
              </w:rPr>
              <w:t xml:space="preserve">decyzja o ustaleniu lokalizacji linii kolejowej </w:t>
            </w:r>
          </w:p>
        </w:tc>
        <w:tc>
          <w:tcPr>
            <w:tcW w:w="3419" w:type="dxa"/>
            <w:tcBorders>
              <w:top w:val="single" w:sz="4" w:space="0" w:color="000000"/>
              <w:left w:val="single" w:sz="4" w:space="0" w:color="000000"/>
              <w:bottom w:val="single" w:sz="4" w:space="0" w:color="000000"/>
              <w:right w:val="single" w:sz="4" w:space="0" w:color="000000"/>
            </w:tcBorders>
          </w:tcPr>
          <w:p w14:paraId="580FECE5" w14:textId="705E0C68"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bl>
    <w:p w14:paraId="783D2DD2" w14:textId="77777777" w:rsidR="00B569C0" w:rsidRDefault="00B569C0">
      <w:pPr>
        <w:spacing w:after="0"/>
        <w:ind w:left="-1020" w:right="218"/>
      </w:pPr>
    </w:p>
    <w:tbl>
      <w:tblPr>
        <w:tblStyle w:val="TableGrid"/>
        <w:tblW w:w="9644" w:type="dxa"/>
        <w:tblInd w:w="6" w:type="dxa"/>
        <w:tblCellMar>
          <w:top w:w="52" w:type="dxa"/>
          <w:left w:w="107" w:type="dxa"/>
          <w:right w:w="70" w:type="dxa"/>
        </w:tblCellMar>
        <w:tblLook w:val="04A0" w:firstRow="1" w:lastRow="0" w:firstColumn="1" w:lastColumn="0" w:noHBand="0" w:noVBand="1"/>
      </w:tblPr>
      <w:tblGrid>
        <w:gridCol w:w="2970"/>
        <w:gridCol w:w="3256"/>
        <w:gridCol w:w="3418"/>
      </w:tblGrid>
      <w:tr w:rsidR="00B569C0" w14:paraId="5A33A816" w14:textId="77777777">
        <w:trPr>
          <w:trHeight w:val="98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E13CFB1"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913A3A0" w14:textId="77777777" w:rsidR="00B569C0" w:rsidRDefault="00861F37">
            <w:pPr>
              <w:ind w:left="2"/>
            </w:pPr>
            <w:r>
              <w:rPr>
                <w:rFonts w:ascii="Times New Roman" w:eastAsia="Times New Roman" w:hAnsi="Times New Roman" w:cs="Times New Roman"/>
                <w:sz w:val="20"/>
              </w:rPr>
              <w:t xml:space="preserve">decyzja o zezwoleniu na realizację inwestycji w zakresie lotniska użytku publicznego </w:t>
            </w:r>
          </w:p>
        </w:tc>
        <w:tc>
          <w:tcPr>
            <w:tcW w:w="3418" w:type="dxa"/>
            <w:tcBorders>
              <w:top w:val="single" w:sz="4" w:space="0" w:color="000000"/>
              <w:left w:val="single" w:sz="4" w:space="0" w:color="000000"/>
              <w:bottom w:val="single" w:sz="4" w:space="0" w:color="000000"/>
              <w:right w:val="single" w:sz="4" w:space="0" w:color="000000"/>
            </w:tcBorders>
          </w:tcPr>
          <w:p w14:paraId="4179014C" w14:textId="1952BD96"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r w:rsidR="00B569C0" w14:paraId="0DD2C8BF" w14:textId="77777777">
        <w:trPr>
          <w:trHeight w:val="987"/>
        </w:trPr>
        <w:tc>
          <w:tcPr>
            <w:tcW w:w="0" w:type="auto"/>
            <w:vMerge/>
            <w:tcBorders>
              <w:top w:val="nil"/>
              <w:left w:val="single" w:sz="4" w:space="0" w:color="000000"/>
              <w:bottom w:val="nil"/>
              <w:right w:val="single" w:sz="4" w:space="0" w:color="000000"/>
            </w:tcBorders>
          </w:tcPr>
          <w:p w14:paraId="0AC427EA"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23C0045" w14:textId="77777777" w:rsidR="00B569C0" w:rsidRDefault="00861F37">
            <w:pPr>
              <w:ind w:left="2"/>
            </w:pPr>
            <w:r>
              <w:rPr>
                <w:rFonts w:ascii="Times New Roman" w:eastAsia="Times New Roman" w:hAnsi="Times New Roman" w:cs="Times New Roman"/>
                <w:sz w:val="20"/>
              </w:rPr>
              <w:t xml:space="preserve">decyzja o pozwoleniu na realizację inwestycji w zakresie budowli przeciwpowodziowych </w:t>
            </w:r>
          </w:p>
        </w:tc>
        <w:tc>
          <w:tcPr>
            <w:tcW w:w="3418" w:type="dxa"/>
            <w:tcBorders>
              <w:top w:val="single" w:sz="4" w:space="0" w:color="000000"/>
              <w:left w:val="single" w:sz="4" w:space="0" w:color="000000"/>
              <w:bottom w:val="single" w:sz="4" w:space="0" w:color="000000"/>
              <w:right w:val="single" w:sz="4" w:space="0" w:color="000000"/>
            </w:tcBorders>
          </w:tcPr>
          <w:p w14:paraId="72E31CBF" w14:textId="2BEFC534" w:rsidR="00B569C0" w:rsidRDefault="002849D4">
            <w:pPr>
              <w:ind w:left="1"/>
            </w:pPr>
            <w:r>
              <w:rPr>
                <w:rFonts w:ascii="Times New Roman" w:eastAsia="Times New Roman" w:hAnsi="Times New Roman" w:cs="Times New Roman"/>
                <w:sz w:val="20"/>
              </w:rPr>
              <w:t>Brak</w:t>
            </w:r>
          </w:p>
        </w:tc>
      </w:tr>
      <w:tr w:rsidR="00B569C0" w14:paraId="27229E28" w14:textId="77777777">
        <w:trPr>
          <w:trHeight w:val="988"/>
        </w:trPr>
        <w:tc>
          <w:tcPr>
            <w:tcW w:w="0" w:type="auto"/>
            <w:vMerge/>
            <w:tcBorders>
              <w:top w:val="nil"/>
              <w:left w:val="single" w:sz="4" w:space="0" w:color="000000"/>
              <w:bottom w:val="nil"/>
              <w:right w:val="single" w:sz="4" w:space="0" w:color="000000"/>
            </w:tcBorders>
          </w:tcPr>
          <w:p w14:paraId="6A6BF684"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ADD0975" w14:textId="77777777" w:rsidR="00B569C0" w:rsidRDefault="00861F37">
            <w:pPr>
              <w:ind w:left="2"/>
            </w:pPr>
            <w:r>
              <w:rPr>
                <w:rFonts w:ascii="Times New Roman" w:eastAsia="Times New Roman" w:hAnsi="Times New Roman" w:cs="Times New Roman"/>
                <w:sz w:val="20"/>
              </w:rPr>
              <w:t xml:space="preserve">decyzja o ustaleniu lokalizacji inwestycji w zakresie budowy obiektu energetyki jądrowej </w:t>
            </w:r>
          </w:p>
        </w:tc>
        <w:tc>
          <w:tcPr>
            <w:tcW w:w="3418" w:type="dxa"/>
            <w:tcBorders>
              <w:top w:val="single" w:sz="4" w:space="0" w:color="000000"/>
              <w:left w:val="single" w:sz="4" w:space="0" w:color="000000"/>
              <w:bottom w:val="single" w:sz="4" w:space="0" w:color="000000"/>
              <w:right w:val="single" w:sz="4" w:space="0" w:color="000000"/>
            </w:tcBorders>
          </w:tcPr>
          <w:p w14:paraId="1CC0AFBD" w14:textId="002BFEB0"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r w:rsidR="00B569C0" w14:paraId="3928C6FF" w14:textId="77777777">
        <w:trPr>
          <w:trHeight w:val="988"/>
        </w:trPr>
        <w:tc>
          <w:tcPr>
            <w:tcW w:w="0" w:type="auto"/>
            <w:vMerge/>
            <w:tcBorders>
              <w:top w:val="nil"/>
              <w:left w:val="single" w:sz="4" w:space="0" w:color="000000"/>
              <w:bottom w:val="nil"/>
              <w:right w:val="single" w:sz="4" w:space="0" w:color="000000"/>
            </w:tcBorders>
          </w:tcPr>
          <w:p w14:paraId="761A3CB8"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67985707" w14:textId="77777777" w:rsidR="00B569C0" w:rsidRDefault="00861F37">
            <w:pPr>
              <w:ind w:left="2"/>
            </w:pPr>
            <w:r>
              <w:rPr>
                <w:rFonts w:ascii="Times New Roman" w:eastAsia="Times New Roman" w:hAnsi="Times New Roman" w:cs="Times New Roman"/>
                <w:sz w:val="20"/>
              </w:rPr>
              <w:t xml:space="preserve">decyzja o ustaleniu lokalizacji strategicznej inwestycji w zakresie sieci przesyłowej </w:t>
            </w:r>
          </w:p>
        </w:tc>
        <w:tc>
          <w:tcPr>
            <w:tcW w:w="3418" w:type="dxa"/>
            <w:tcBorders>
              <w:top w:val="single" w:sz="4" w:space="0" w:color="000000"/>
              <w:left w:val="single" w:sz="4" w:space="0" w:color="000000"/>
              <w:bottom w:val="single" w:sz="4" w:space="0" w:color="000000"/>
              <w:right w:val="single" w:sz="4" w:space="0" w:color="000000"/>
            </w:tcBorders>
          </w:tcPr>
          <w:p w14:paraId="5A4F8EDE" w14:textId="533A7345" w:rsidR="00B569C0" w:rsidRDefault="002849D4">
            <w:pPr>
              <w:ind w:left="1"/>
            </w:pPr>
            <w:r>
              <w:rPr>
                <w:rFonts w:ascii="Times New Roman" w:eastAsia="Times New Roman" w:hAnsi="Times New Roman" w:cs="Times New Roman"/>
                <w:sz w:val="20"/>
              </w:rPr>
              <w:t xml:space="preserve"> Brak</w:t>
            </w:r>
          </w:p>
        </w:tc>
      </w:tr>
      <w:tr w:rsidR="00B569C0" w14:paraId="167DBFE5" w14:textId="77777777">
        <w:trPr>
          <w:trHeight w:val="724"/>
        </w:trPr>
        <w:tc>
          <w:tcPr>
            <w:tcW w:w="0" w:type="auto"/>
            <w:vMerge/>
            <w:tcBorders>
              <w:top w:val="nil"/>
              <w:left w:val="single" w:sz="4" w:space="0" w:color="000000"/>
              <w:bottom w:val="nil"/>
              <w:right w:val="single" w:sz="4" w:space="0" w:color="000000"/>
            </w:tcBorders>
          </w:tcPr>
          <w:p w14:paraId="6C66F123"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443DB703" w14:textId="77777777" w:rsidR="00B569C0" w:rsidRDefault="00861F37">
            <w:pPr>
              <w:ind w:left="2"/>
            </w:pPr>
            <w:r>
              <w:rPr>
                <w:rFonts w:ascii="Times New Roman" w:eastAsia="Times New Roman" w:hAnsi="Times New Roman" w:cs="Times New Roman"/>
                <w:sz w:val="20"/>
              </w:rPr>
              <w:t xml:space="preserve">decyzja o ustaleniu lokalizacji regionalnej sieci szerokopasmowej </w:t>
            </w:r>
          </w:p>
        </w:tc>
        <w:tc>
          <w:tcPr>
            <w:tcW w:w="3418" w:type="dxa"/>
            <w:tcBorders>
              <w:top w:val="single" w:sz="4" w:space="0" w:color="000000"/>
              <w:left w:val="single" w:sz="4" w:space="0" w:color="000000"/>
              <w:bottom w:val="single" w:sz="4" w:space="0" w:color="000000"/>
              <w:right w:val="single" w:sz="4" w:space="0" w:color="000000"/>
            </w:tcBorders>
          </w:tcPr>
          <w:p w14:paraId="0EA2CC21" w14:textId="40EC1745" w:rsidR="00B569C0" w:rsidRDefault="002849D4">
            <w:pPr>
              <w:ind w:left="1"/>
            </w:pPr>
            <w:r>
              <w:rPr>
                <w:rFonts w:ascii="Times New Roman" w:eastAsia="Times New Roman" w:hAnsi="Times New Roman" w:cs="Times New Roman"/>
                <w:sz w:val="20"/>
              </w:rPr>
              <w:t>Brak</w:t>
            </w:r>
          </w:p>
        </w:tc>
      </w:tr>
      <w:tr w:rsidR="00B569C0" w14:paraId="1D04772E" w14:textId="77777777">
        <w:trPr>
          <w:trHeight w:val="986"/>
        </w:trPr>
        <w:tc>
          <w:tcPr>
            <w:tcW w:w="0" w:type="auto"/>
            <w:vMerge/>
            <w:tcBorders>
              <w:top w:val="nil"/>
              <w:left w:val="single" w:sz="4" w:space="0" w:color="000000"/>
              <w:bottom w:val="nil"/>
              <w:right w:val="single" w:sz="4" w:space="0" w:color="000000"/>
            </w:tcBorders>
          </w:tcPr>
          <w:p w14:paraId="7137669E"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75689E9A" w14:textId="77777777" w:rsidR="00B569C0" w:rsidRDefault="00861F37">
            <w:pPr>
              <w:ind w:left="2"/>
            </w:pPr>
            <w:r>
              <w:rPr>
                <w:rFonts w:ascii="Times New Roman" w:eastAsia="Times New Roman" w:hAnsi="Times New Roman" w:cs="Times New Roman"/>
                <w:sz w:val="20"/>
              </w:rPr>
              <w:t xml:space="preserve">decyzja o ustaleniu lokalizacji inwestycji w zakresie Centralnego Portu Komunikacyjnego </w:t>
            </w:r>
          </w:p>
        </w:tc>
        <w:tc>
          <w:tcPr>
            <w:tcW w:w="3418" w:type="dxa"/>
            <w:tcBorders>
              <w:top w:val="single" w:sz="4" w:space="0" w:color="000000"/>
              <w:left w:val="single" w:sz="4" w:space="0" w:color="000000"/>
              <w:bottom w:val="single" w:sz="4" w:space="0" w:color="000000"/>
              <w:right w:val="single" w:sz="4" w:space="0" w:color="000000"/>
            </w:tcBorders>
          </w:tcPr>
          <w:p w14:paraId="499966AA" w14:textId="06AA19DC"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r w:rsidR="00B569C0" w14:paraId="60BED5E1" w14:textId="77777777">
        <w:trPr>
          <w:trHeight w:val="988"/>
        </w:trPr>
        <w:tc>
          <w:tcPr>
            <w:tcW w:w="0" w:type="auto"/>
            <w:vMerge/>
            <w:tcBorders>
              <w:top w:val="nil"/>
              <w:left w:val="single" w:sz="4" w:space="0" w:color="000000"/>
              <w:bottom w:val="nil"/>
              <w:right w:val="single" w:sz="4" w:space="0" w:color="000000"/>
            </w:tcBorders>
          </w:tcPr>
          <w:p w14:paraId="4F5CD702"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7B14384" w14:textId="77777777" w:rsidR="00B569C0" w:rsidRDefault="00861F37">
            <w:pPr>
              <w:ind w:left="2"/>
            </w:pPr>
            <w:r>
              <w:rPr>
                <w:rFonts w:ascii="Times New Roman" w:eastAsia="Times New Roman" w:hAnsi="Times New Roman" w:cs="Times New Roman"/>
                <w:sz w:val="20"/>
              </w:rPr>
              <w:t xml:space="preserve">decyzja o zezwoleniu na realizację inwestycji w zakresie infrastruktury dostępowej </w:t>
            </w:r>
          </w:p>
        </w:tc>
        <w:tc>
          <w:tcPr>
            <w:tcW w:w="3418" w:type="dxa"/>
            <w:tcBorders>
              <w:top w:val="single" w:sz="4" w:space="0" w:color="000000"/>
              <w:left w:val="single" w:sz="4" w:space="0" w:color="000000"/>
              <w:bottom w:val="single" w:sz="4" w:space="0" w:color="000000"/>
              <w:right w:val="single" w:sz="4" w:space="0" w:color="000000"/>
            </w:tcBorders>
          </w:tcPr>
          <w:p w14:paraId="2677E5FD" w14:textId="38BD33CC"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r w:rsidR="00B569C0" w14:paraId="57AFAF5C" w14:textId="77777777">
        <w:trPr>
          <w:trHeight w:val="988"/>
        </w:trPr>
        <w:tc>
          <w:tcPr>
            <w:tcW w:w="0" w:type="auto"/>
            <w:vMerge/>
            <w:tcBorders>
              <w:top w:val="nil"/>
              <w:left w:val="single" w:sz="4" w:space="0" w:color="000000"/>
              <w:bottom w:val="nil"/>
              <w:right w:val="single" w:sz="4" w:space="0" w:color="000000"/>
            </w:tcBorders>
          </w:tcPr>
          <w:p w14:paraId="141FF0B5"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8620CAC" w14:textId="77777777" w:rsidR="00B569C0" w:rsidRDefault="00861F37">
            <w:pPr>
              <w:spacing w:after="13"/>
              <w:ind w:left="2"/>
            </w:pPr>
            <w:r>
              <w:rPr>
                <w:rFonts w:ascii="Times New Roman" w:eastAsia="Times New Roman" w:hAnsi="Times New Roman" w:cs="Times New Roman"/>
                <w:sz w:val="20"/>
              </w:rPr>
              <w:t xml:space="preserve">decyzja o ustaleniu lokalizacji </w:t>
            </w:r>
          </w:p>
          <w:p w14:paraId="548CEFCF" w14:textId="77777777" w:rsidR="00B569C0" w:rsidRDefault="00861F37">
            <w:pPr>
              <w:spacing w:after="14"/>
              <w:ind w:left="2"/>
            </w:pPr>
            <w:r>
              <w:rPr>
                <w:rFonts w:ascii="Times New Roman" w:eastAsia="Times New Roman" w:hAnsi="Times New Roman" w:cs="Times New Roman"/>
                <w:sz w:val="20"/>
              </w:rPr>
              <w:t xml:space="preserve">strategicznej inwestycji w sektorze </w:t>
            </w:r>
          </w:p>
          <w:p w14:paraId="3DD8C36C" w14:textId="77777777" w:rsidR="00B569C0" w:rsidRDefault="00861F37">
            <w:pPr>
              <w:ind w:left="2"/>
            </w:pPr>
            <w:r>
              <w:rPr>
                <w:rFonts w:ascii="Times New Roman" w:eastAsia="Times New Roman" w:hAnsi="Times New Roman" w:cs="Times New Roman"/>
                <w:sz w:val="20"/>
              </w:rPr>
              <w:t xml:space="preserve">naftowym </w:t>
            </w:r>
          </w:p>
        </w:tc>
        <w:tc>
          <w:tcPr>
            <w:tcW w:w="3418" w:type="dxa"/>
            <w:tcBorders>
              <w:top w:val="single" w:sz="4" w:space="0" w:color="000000"/>
              <w:left w:val="single" w:sz="4" w:space="0" w:color="000000"/>
              <w:bottom w:val="single" w:sz="4" w:space="0" w:color="000000"/>
              <w:right w:val="single" w:sz="4" w:space="0" w:color="000000"/>
            </w:tcBorders>
          </w:tcPr>
          <w:p w14:paraId="3FCDDD4D" w14:textId="0E800C4B" w:rsidR="00B569C0" w:rsidRDefault="002849D4" w:rsidP="002849D4">
            <w:r>
              <w:rPr>
                <w:rFonts w:ascii="Times New Roman" w:eastAsia="Times New Roman" w:hAnsi="Times New Roman" w:cs="Times New Roman"/>
                <w:sz w:val="20"/>
              </w:rPr>
              <w:t xml:space="preserve"> Brak</w:t>
            </w:r>
          </w:p>
        </w:tc>
      </w:tr>
      <w:tr w:rsidR="00B569C0" w14:paraId="59384DAE" w14:textId="77777777">
        <w:trPr>
          <w:trHeight w:val="988"/>
        </w:trPr>
        <w:tc>
          <w:tcPr>
            <w:tcW w:w="0" w:type="auto"/>
            <w:vMerge/>
            <w:tcBorders>
              <w:top w:val="nil"/>
              <w:left w:val="single" w:sz="4" w:space="0" w:color="000000"/>
              <w:bottom w:val="single" w:sz="4" w:space="0" w:color="000000"/>
              <w:right w:val="single" w:sz="4" w:space="0" w:color="000000"/>
            </w:tcBorders>
          </w:tcPr>
          <w:p w14:paraId="09E734D7"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05E2DC79" w14:textId="77777777" w:rsidR="00B569C0" w:rsidRDefault="00861F37">
            <w:pPr>
              <w:spacing w:after="14"/>
              <w:ind w:left="2"/>
            </w:pPr>
            <w:r>
              <w:rPr>
                <w:rFonts w:ascii="Times New Roman" w:eastAsia="Times New Roman" w:hAnsi="Times New Roman" w:cs="Times New Roman"/>
                <w:sz w:val="20"/>
              </w:rPr>
              <w:t xml:space="preserve">decyzja o ustaleniu lokalizacji </w:t>
            </w:r>
          </w:p>
          <w:p w14:paraId="6B30C28E" w14:textId="77777777" w:rsidR="00B569C0" w:rsidRDefault="00861F37">
            <w:pPr>
              <w:spacing w:after="15"/>
              <w:ind w:left="2"/>
            </w:pPr>
            <w:r>
              <w:rPr>
                <w:rFonts w:ascii="Times New Roman" w:eastAsia="Times New Roman" w:hAnsi="Times New Roman" w:cs="Times New Roman"/>
                <w:sz w:val="20"/>
              </w:rPr>
              <w:t xml:space="preserve">strategicznej inwestycji w sektorze </w:t>
            </w:r>
          </w:p>
          <w:p w14:paraId="48A4AF0E" w14:textId="77777777" w:rsidR="00B569C0" w:rsidRDefault="00861F37">
            <w:pPr>
              <w:ind w:left="2"/>
            </w:pPr>
            <w:r>
              <w:rPr>
                <w:rFonts w:ascii="Times New Roman" w:eastAsia="Times New Roman" w:hAnsi="Times New Roman" w:cs="Times New Roman"/>
                <w:sz w:val="20"/>
              </w:rPr>
              <w:t xml:space="preserve">naftowym </w:t>
            </w:r>
          </w:p>
        </w:tc>
        <w:tc>
          <w:tcPr>
            <w:tcW w:w="3418" w:type="dxa"/>
            <w:tcBorders>
              <w:top w:val="single" w:sz="4" w:space="0" w:color="000000"/>
              <w:left w:val="single" w:sz="4" w:space="0" w:color="000000"/>
              <w:bottom w:val="single" w:sz="4" w:space="0" w:color="000000"/>
              <w:right w:val="single" w:sz="4" w:space="0" w:color="000000"/>
            </w:tcBorders>
          </w:tcPr>
          <w:p w14:paraId="70DC9475" w14:textId="5F089094" w:rsidR="00B569C0" w:rsidRDefault="00861F37">
            <w:pPr>
              <w:ind w:left="1"/>
            </w:pPr>
            <w:r>
              <w:rPr>
                <w:rFonts w:ascii="Times New Roman" w:eastAsia="Times New Roman" w:hAnsi="Times New Roman" w:cs="Times New Roman"/>
                <w:sz w:val="20"/>
              </w:rPr>
              <w:t xml:space="preserve"> </w:t>
            </w:r>
            <w:r w:rsidR="002849D4">
              <w:rPr>
                <w:rFonts w:ascii="Times New Roman" w:eastAsia="Times New Roman" w:hAnsi="Times New Roman" w:cs="Times New Roman"/>
                <w:sz w:val="20"/>
              </w:rPr>
              <w:t>Brak</w:t>
            </w:r>
          </w:p>
        </w:tc>
      </w:tr>
      <w:tr w:rsidR="00B569C0" w14:paraId="704335C5" w14:textId="77777777">
        <w:trPr>
          <w:trHeight w:val="475"/>
        </w:trPr>
        <w:tc>
          <w:tcPr>
            <w:tcW w:w="6226" w:type="dxa"/>
            <w:gridSpan w:val="2"/>
            <w:tcBorders>
              <w:top w:val="single" w:sz="4" w:space="0" w:color="000000"/>
              <w:left w:val="single" w:sz="4" w:space="0" w:color="000000"/>
              <w:bottom w:val="single" w:sz="4" w:space="0" w:color="000000"/>
              <w:right w:val="nil"/>
            </w:tcBorders>
            <w:shd w:val="clear" w:color="auto" w:fill="D9D9D9"/>
            <w:vAlign w:val="center"/>
          </w:tcPr>
          <w:p w14:paraId="6008EBBE" w14:textId="77777777" w:rsidR="00B569C0" w:rsidRDefault="00861F37">
            <w:r>
              <w:rPr>
                <w:rFonts w:ascii="Times New Roman" w:eastAsia="Times New Roman" w:hAnsi="Times New Roman" w:cs="Times New Roman"/>
                <w:b/>
                <w:sz w:val="20"/>
              </w:rPr>
              <w:t>INFORMACJE DOTYCZĄCE BUDYNKU</w:t>
            </w:r>
            <w:r>
              <w:rPr>
                <w:rFonts w:ascii="Times New Roman" w:eastAsia="Times New Roman" w:hAnsi="Times New Roman" w:cs="Times New Roman"/>
                <w:sz w:val="20"/>
              </w:rPr>
              <w:t xml:space="preserve"> </w:t>
            </w:r>
          </w:p>
        </w:tc>
        <w:tc>
          <w:tcPr>
            <w:tcW w:w="3418" w:type="dxa"/>
            <w:tcBorders>
              <w:top w:val="single" w:sz="4" w:space="0" w:color="000000"/>
              <w:left w:val="nil"/>
              <w:bottom w:val="single" w:sz="4" w:space="0" w:color="000000"/>
              <w:right w:val="single" w:sz="4" w:space="0" w:color="000000"/>
            </w:tcBorders>
            <w:shd w:val="clear" w:color="auto" w:fill="D9D9D9"/>
          </w:tcPr>
          <w:p w14:paraId="5148C891" w14:textId="77777777" w:rsidR="00B569C0" w:rsidRDefault="00B569C0"/>
        </w:tc>
      </w:tr>
      <w:tr w:rsidR="00B569C0" w14:paraId="32861B41" w14:textId="77777777">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5D72B143" w14:textId="77777777" w:rsidR="00B569C0" w:rsidRDefault="00861F37">
            <w:r>
              <w:rPr>
                <w:rFonts w:ascii="Times New Roman" w:eastAsia="Times New Roman" w:hAnsi="Times New Roman" w:cs="Times New Roman"/>
                <w:sz w:val="20"/>
              </w:rPr>
              <w:t xml:space="preserve">Czy jest pozwolenie na budowę </w:t>
            </w:r>
          </w:p>
        </w:tc>
        <w:tc>
          <w:tcPr>
            <w:tcW w:w="3256" w:type="dxa"/>
            <w:tcBorders>
              <w:top w:val="single" w:sz="4" w:space="0" w:color="000000"/>
              <w:left w:val="single" w:sz="4" w:space="0" w:color="000000"/>
              <w:bottom w:val="single" w:sz="4" w:space="0" w:color="000000"/>
              <w:right w:val="single" w:sz="4" w:space="0" w:color="000000"/>
            </w:tcBorders>
            <w:vAlign w:val="center"/>
          </w:tcPr>
          <w:p w14:paraId="14074A5C" w14:textId="77777777" w:rsidR="00B569C0" w:rsidRDefault="00861F37">
            <w:pPr>
              <w:ind w:right="9"/>
              <w:jc w:val="center"/>
            </w:pPr>
            <w:r>
              <w:rPr>
                <w:rFonts w:ascii="Times New Roman" w:eastAsia="Times New Roman" w:hAnsi="Times New Roman" w:cs="Times New Roman"/>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14:paraId="76BC57ED" w14:textId="37461480" w:rsidR="00B569C0" w:rsidRDefault="009D44D7">
            <w:pPr>
              <w:ind w:right="9"/>
              <w:jc w:val="center"/>
            </w:pPr>
            <w:r w:rsidRPr="00B258AD">
              <w:rPr>
                <w:strike/>
                <w:spacing w:val="-4"/>
                <w:sz w:val="20"/>
              </w:rPr>
              <w:t>nie</w:t>
            </w:r>
            <w:r>
              <w:rPr>
                <w:spacing w:val="-4"/>
                <w:sz w:val="20"/>
              </w:rPr>
              <w:t>*</w:t>
            </w:r>
          </w:p>
        </w:tc>
      </w:tr>
      <w:tr w:rsidR="00B569C0" w14:paraId="3BEAB9D7" w14:textId="77777777">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5DD065B4" w14:textId="77777777" w:rsidR="00B569C0" w:rsidRDefault="00861F37">
            <w:r>
              <w:rPr>
                <w:rFonts w:ascii="Times New Roman" w:eastAsia="Times New Roman" w:hAnsi="Times New Roman" w:cs="Times New Roman"/>
                <w:sz w:val="20"/>
              </w:rPr>
              <w:lastRenderedPageBreak/>
              <w:t xml:space="preserve">Czy pozwolenie na budowę jest ostateczne </w:t>
            </w:r>
          </w:p>
        </w:tc>
        <w:tc>
          <w:tcPr>
            <w:tcW w:w="3256" w:type="dxa"/>
            <w:tcBorders>
              <w:top w:val="single" w:sz="4" w:space="0" w:color="000000"/>
              <w:left w:val="single" w:sz="4" w:space="0" w:color="000000"/>
              <w:bottom w:val="single" w:sz="4" w:space="0" w:color="000000"/>
              <w:right w:val="single" w:sz="4" w:space="0" w:color="000000"/>
            </w:tcBorders>
            <w:vAlign w:val="center"/>
          </w:tcPr>
          <w:p w14:paraId="1EDA831C" w14:textId="77777777" w:rsidR="00B569C0" w:rsidRDefault="00861F37">
            <w:pPr>
              <w:ind w:right="9"/>
              <w:jc w:val="center"/>
            </w:pPr>
            <w:r>
              <w:rPr>
                <w:rFonts w:ascii="Times New Roman" w:eastAsia="Times New Roman" w:hAnsi="Times New Roman" w:cs="Times New Roman"/>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14:paraId="3FE47F0C" w14:textId="3A4141B9" w:rsidR="00B569C0" w:rsidRDefault="009D44D7">
            <w:pPr>
              <w:ind w:right="9"/>
              <w:jc w:val="center"/>
            </w:pPr>
            <w:r w:rsidRPr="00B258AD">
              <w:rPr>
                <w:strike/>
                <w:spacing w:val="-4"/>
                <w:sz w:val="20"/>
              </w:rPr>
              <w:t>nie</w:t>
            </w:r>
            <w:r>
              <w:rPr>
                <w:spacing w:val="-4"/>
                <w:sz w:val="20"/>
              </w:rPr>
              <w:t>*</w:t>
            </w:r>
          </w:p>
        </w:tc>
      </w:tr>
      <w:tr w:rsidR="00B569C0" w14:paraId="3B099FB1" w14:textId="77777777">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36E835B6" w14:textId="77777777" w:rsidR="00B569C0" w:rsidRDefault="00861F37">
            <w:r>
              <w:rPr>
                <w:rFonts w:ascii="Times New Roman" w:eastAsia="Times New Roman" w:hAnsi="Times New Roman" w:cs="Times New Roman"/>
                <w:sz w:val="20"/>
              </w:rPr>
              <w:t xml:space="preserve">Czy pozwolenie na budowę jest zaskarżone </w:t>
            </w:r>
          </w:p>
        </w:tc>
        <w:tc>
          <w:tcPr>
            <w:tcW w:w="3256" w:type="dxa"/>
            <w:tcBorders>
              <w:top w:val="single" w:sz="4" w:space="0" w:color="000000"/>
              <w:left w:val="single" w:sz="4" w:space="0" w:color="000000"/>
              <w:bottom w:val="single" w:sz="4" w:space="0" w:color="000000"/>
              <w:right w:val="single" w:sz="4" w:space="0" w:color="000000"/>
            </w:tcBorders>
            <w:vAlign w:val="center"/>
          </w:tcPr>
          <w:p w14:paraId="05616156" w14:textId="77777777" w:rsidR="00B569C0" w:rsidRPr="00F11C3C" w:rsidRDefault="00861F37">
            <w:pPr>
              <w:ind w:right="9"/>
              <w:jc w:val="center"/>
              <w:rPr>
                <w:strike/>
              </w:rPr>
            </w:pPr>
            <w:r w:rsidRPr="00F11C3C">
              <w:rPr>
                <w:rFonts w:ascii="Times New Roman" w:eastAsia="Times New Roman" w:hAnsi="Times New Roman" w:cs="Times New Roman"/>
                <w:strike/>
                <w:sz w:val="20"/>
              </w:rPr>
              <w:t xml:space="preserve">tak* </w:t>
            </w:r>
          </w:p>
        </w:tc>
        <w:tc>
          <w:tcPr>
            <w:tcW w:w="3418" w:type="dxa"/>
            <w:tcBorders>
              <w:top w:val="single" w:sz="4" w:space="0" w:color="000000"/>
              <w:left w:val="single" w:sz="4" w:space="0" w:color="000000"/>
              <w:bottom w:val="single" w:sz="4" w:space="0" w:color="000000"/>
              <w:right w:val="single" w:sz="4" w:space="0" w:color="000000"/>
            </w:tcBorders>
            <w:vAlign w:val="center"/>
          </w:tcPr>
          <w:p w14:paraId="03DFC808" w14:textId="6A88CC13" w:rsidR="00B569C0" w:rsidRPr="00F11C3C" w:rsidRDefault="009D44D7">
            <w:pPr>
              <w:ind w:right="9"/>
              <w:jc w:val="center"/>
            </w:pPr>
            <w:r w:rsidRPr="00F11C3C">
              <w:rPr>
                <w:spacing w:val="-4"/>
                <w:sz w:val="20"/>
              </w:rPr>
              <w:t>nie*</w:t>
            </w:r>
          </w:p>
        </w:tc>
      </w:tr>
      <w:tr w:rsidR="00B569C0" w14:paraId="53CD50F1" w14:textId="77777777">
        <w:trPr>
          <w:trHeight w:val="73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7B401965" w14:textId="77777777" w:rsidR="00B569C0" w:rsidRDefault="00861F37">
            <w:pPr>
              <w:jc w:val="both"/>
            </w:pPr>
            <w:r>
              <w:rPr>
                <w:rFonts w:ascii="Times New Roman" w:eastAsia="Times New Roman" w:hAnsi="Times New Roman" w:cs="Times New Roman"/>
                <w:sz w:val="20"/>
              </w:rPr>
              <w:t xml:space="preserve">Numer pozwolenia na budowę oraz nazwa organu, który je wydał </w:t>
            </w:r>
          </w:p>
        </w:tc>
        <w:tc>
          <w:tcPr>
            <w:tcW w:w="3256" w:type="dxa"/>
            <w:tcBorders>
              <w:top w:val="single" w:sz="4" w:space="0" w:color="000000"/>
              <w:left w:val="single" w:sz="4" w:space="0" w:color="000000"/>
              <w:bottom w:val="single" w:sz="4" w:space="0" w:color="000000"/>
              <w:right w:val="nil"/>
            </w:tcBorders>
          </w:tcPr>
          <w:p w14:paraId="1DBA0F67" w14:textId="1D7769D2" w:rsidR="00B569C0" w:rsidRDefault="00323E01">
            <w:pPr>
              <w:ind w:left="2"/>
              <w:rPr>
                <w:b/>
                <w:sz w:val="18"/>
                <w:szCs w:val="18"/>
              </w:rPr>
            </w:pPr>
            <w:r w:rsidRPr="00B258AD">
              <w:rPr>
                <w:b/>
                <w:sz w:val="18"/>
                <w:szCs w:val="18"/>
              </w:rPr>
              <w:t xml:space="preserve">Ostateczna decyzja </w:t>
            </w:r>
            <w:r>
              <w:rPr>
                <w:b/>
                <w:sz w:val="18"/>
                <w:szCs w:val="18"/>
              </w:rPr>
              <w:t xml:space="preserve">nr </w:t>
            </w:r>
            <w:r w:rsidR="00B84F57">
              <w:rPr>
                <w:b/>
                <w:sz w:val="18"/>
                <w:szCs w:val="18"/>
              </w:rPr>
              <w:t>1707</w:t>
            </w:r>
            <w:r>
              <w:rPr>
                <w:b/>
                <w:sz w:val="18"/>
                <w:szCs w:val="18"/>
              </w:rPr>
              <w:t>.202</w:t>
            </w:r>
            <w:r w:rsidR="00B84F57">
              <w:rPr>
                <w:b/>
                <w:sz w:val="18"/>
                <w:szCs w:val="18"/>
              </w:rPr>
              <w:t>4</w:t>
            </w:r>
            <w:r w:rsidR="0007385D">
              <w:rPr>
                <w:b/>
                <w:sz w:val="18"/>
                <w:szCs w:val="18"/>
              </w:rPr>
              <w:t xml:space="preserve"> </w:t>
            </w:r>
            <w:r w:rsidRPr="00B258AD">
              <w:rPr>
                <w:b/>
                <w:sz w:val="18"/>
                <w:szCs w:val="18"/>
              </w:rPr>
              <w:t xml:space="preserve">wydana przez Starotę Wielickiego z dnia </w:t>
            </w:r>
            <w:r w:rsidR="00685400">
              <w:rPr>
                <w:b/>
                <w:sz w:val="18"/>
                <w:szCs w:val="18"/>
              </w:rPr>
              <w:t>08</w:t>
            </w:r>
            <w:r w:rsidRPr="00B258AD">
              <w:rPr>
                <w:b/>
                <w:sz w:val="18"/>
                <w:szCs w:val="18"/>
              </w:rPr>
              <w:t>.</w:t>
            </w:r>
            <w:r w:rsidR="00685400">
              <w:rPr>
                <w:b/>
                <w:sz w:val="18"/>
                <w:szCs w:val="18"/>
              </w:rPr>
              <w:t>10</w:t>
            </w:r>
            <w:r w:rsidRPr="00B258AD">
              <w:rPr>
                <w:b/>
                <w:sz w:val="18"/>
                <w:szCs w:val="18"/>
              </w:rPr>
              <w:t>.20</w:t>
            </w:r>
            <w:r>
              <w:rPr>
                <w:b/>
                <w:sz w:val="18"/>
                <w:szCs w:val="18"/>
              </w:rPr>
              <w:t>2</w:t>
            </w:r>
            <w:r w:rsidR="00685400">
              <w:rPr>
                <w:b/>
                <w:sz w:val="18"/>
                <w:szCs w:val="18"/>
              </w:rPr>
              <w:t>4</w:t>
            </w:r>
            <w:r w:rsidRPr="00B258AD">
              <w:rPr>
                <w:b/>
                <w:sz w:val="18"/>
                <w:szCs w:val="18"/>
              </w:rPr>
              <w:t>r., znak AB.</w:t>
            </w:r>
            <w:r w:rsidR="007316B2">
              <w:rPr>
                <w:b/>
                <w:sz w:val="18"/>
                <w:szCs w:val="18"/>
              </w:rPr>
              <w:t>6740</w:t>
            </w:r>
            <w:r w:rsidRPr="00B258AD">
              <w:rPr>
                <w:b/>
                <w:sz w:val="18"/>
                <w:szCs w:val="18"/>
              </w:rPr>
              <w:t>.</w:t>
            </w:r>
            <w:r w:rsidR="0007385D">
              <w:rPr>
                <w:b/>
                <w:sz w:val="18"/>
                <w:szCs w:val="18"/>
              </w:rPr>
              <w:t>6.474.2024.W</w:t>
            </w:r>
          </w:p>
          <w:p w14:paraId="651B3E8F" w14:textId="626D431E" w:rsidR="0007385D" w:rsidRDefault="0007385D">
            <w:pPr>
              <w:ind w:left="2"/>
            </w:pPr>
            <w:r w:rsidRPr="00B258AD">
              <w:rPr>
                <w:b/>
                <w:sz w:val="18"/>
                <w:szCs w:val="18"/>
              </w:rPr>
              <w:t xml:space="preserve">Ostateczna decyzja </w:t>
            </w:r>
            <w:r>
              <w:rPr>
                <w:b/>
                <w:sz w:val="18"/>
                <w:szCs w:val="18"/>
              </w:rPr>
              <w:t>nr 17</w:t>
            </w:r>
            <w:r w:rsidR="005F12E0">
              <w:rPr>
                <w:b/>
                <w:sz w:val="18"/>
                <w:szCs w:val="18"/>
              </w:rPr>
              <w:t>35</w:t>
            </w:r>
            <w:r>
              <w:rPr>
                <w:b/>
                <w:sz w:val="18"/>
                <w:szCs w:val="18"/>
              </w:rPr>
              <w:t xml:space="preserve">.2024 </w:t>
            </w:r>
            <w:r w:rsidRPr="00B258AD">
              <w:rPr>
                <w:b/>
                <w:sz w:val="18"/>
                <w:szCs w:val="18"/>
              </w:rPr>
              <w:t xml:space="preserve">wydana przez Starotę Wielickiego z dnia </w:t>
            </w:r>
            <w:r w:rsidR="00D004A8">
              <w:rPr>
                <w:b/>
                <w:sz w:val="18"/>
                <w:szCs w:val="18"/>
              </w:rPr>
              <w:t>24</w:t>
            </w:r>
            <w:r w:rsidRPr="00B258AD">
              <w:rPr>
                <w:b/>
                <w:sz w:val="18"/>
                <w:szCs w:val="18"/>
              </w:rPr>
              <w:t>.</w:t>
            </w:r>
            <w:r>
              <w:rPr>
                <w:b/>
                <w:sz w:val="18"/>
                <w:szCs w:val="18"/>
              </w:rPr>
              <w:t>10</w:t>
            </w:r>
            <w:r w:rsidRPr="00B258AD">
              <w:rPr>
                <w:b/>
                <w:sz w:val="18"/>
                <w:szCs w:val="18"/>
              </w:rPr>
              <w:t>.20</w:t>
            </w:r>
            <w:r>
              <w:rPr>
                <w:b/>
                <w:sz w:val="18"/>
                <w:szCs w:val="18"/>
              </w:rPr>
              <w:t>24</w:t>
            </w:r>
            <w:r w:rsidRPr="00B258AD">
              <w:rPr>
                <w:b/>
                <w:sz w:val="18"/>
                <w:szCs w:val="18"/>
              </w:rPr>
              <w:t>r., znak AB.</w:t>
            </w:r>
            <w:r>
              <w:rPr>
                <w:b/>
                <w:sz w:val="18"/>
                <w:szCs w:val="18"/>
              </w:rPr>
              <w:t>6740</w:t>
            </w:r>
            <w:r w:rsidRPr="00B258AD">
              <w:rPr>
                <w:b/>
                <w:sz w:val="18"/>
                <w:szCs w:val="18"/>
              </w:rPr>
              <w:t>.</w:t>
            </w:r>
            <w:r>
              <w:rPr>
                <w:b/>
                <w:sz w:val="18"/>
                <w:szCs w:val="18"/>
              </w:rPr>
              <w:t>6.47</w:t>
            </w:r>
            <w:r w:rsidR="00D004A8">
              <w:rPr>
                <w:b/>
                <w:sz w:val="18"/>
                <w:szCs w:val="18"/>
              </w:rPr>
              <w:t>2</w:t>
            </w:r>
            <w:r>
              <w:rPr>
                <w:b/>
                <w:sz w:val="18"/>
                <w:szCs w:val="18"/>
              </w:rPr>
              <w:t>.2024.W</w:t>
            </w:r>
          </w:p>
        </w:tc>
        <w:tc>
          <w:tcPr>
            <w:tcW w:w="3418" w:type="dxa"/>
            <w:tcBorders>
              <w:top w:val="single" w:sz="4" w:space="0" w:color="000000"/>
              <w:left w:val="nil"/>
              <w:bottom w:val="single" w:sz="4" w:space="0" w:color="000000"/>
              <w:right w:val="single" w:sz="4" w:space="0" w:color="000000"/>
            </w:tcBorders>
          </w:tcPr>
          <w:p w14:paraId="613BF25A" w14:textId="77777777" w:rsidR="00B569C0" w:rsidRDefault="00B569C0"/>
        </w:tc>
      </w:tr>
      <w:tr w:rsidR="00B569C0" w14:paraId="79155B5A" w14:textId="77777777">
        <w:trPr>
          <w:trHeight w:val="99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6A71D1F" w14:textId="77777777" w:rsidR="00B569C0" w:rsidRDefault="00861F37">
            <w:pPr>
              <w:ind w:right="2"/>
            </w:pPr>
            <w:r>
              <w:rPr>
                <w:rFonts w:ascii="Times New Roman" w:eastAsia="Times New Roman" w:hAnsi="Times New Roman" w:cs="Times New Roman"/>
                <w:sz w:val="20"/>
              </w:rPr>
              <w:t xml:space="preserve">Data uprawomocnienia się decyzji o pozwoleniu na użytkowanie budynku </w:t>
            </w:r>
          </w:p>
        </w:tc>
        <w:tc>
          <w:tcPr>
            <w:tcW w:w="3256" w:type="dxa"/>
            <w:tcBorders>
              <w:top w:val="single" w:sz="4" w:space="0" w:color="000000"/>
              <w:left w:val="single" w:sz="4" w:space="0" w:color="000000"/>
              <w:bottom w:val="single" w:sz="4" w:space="0" w:color="000000"/>
              <w:right w:val="nil"/>
            </w:tcBorders>
          </w:tcPr>
          <w:p w14:paraId="5414F37F" w14:textId="60367C2F" w:rsidR="00B569C0" w:rsidRDefault="00861F37">
            <w:pPr>
              <w:ind w:left="2"/>
            </w:pPr>
            <w:r>
              <w:rPr>
                <w:rFonts w:ascii="Times New Roman" w:eastAsia="Times New Roman" w:hAnsi="Times New Roman" w:cs="Times New Roman"/>
                <w:sz w:val="20"/>
              </w:rPr>
              <w:t xml:space="preserve"> </w:t>
            </w:r>
            <w:r w:rsidR="003528A3">
              <w:rPr>
                <w:sz w:val="18"/>
              </w:rPr>
              <w:t>-----------------------------------</w:t>
            </w:r>
          </w:p>
        </w:tc>
        <w:tc>
          <w:tcPr>
            <w:tcW w:w="3418" w:type="dxa"/>
            <w:tcBorders>
              <w:top w:val="single" w:sz="4" w:space="0" w:color="000000"/>
              <w:left w:val="nil"/>
              <w:bottom w:val="single" w:sz="4" w:space="0" w:color="000000"/>
              <w:right w:val="single" w:sz="4" w:space="0" w:color="000000"/>
            </w:tcBorders>
          </w:tcPr>
          <w:p w14:paraId="42CE22AF" w14:textId="77777777" w:rsidR="00B569C0" w:rsidRDefault="00B569C0"/>
        </w:tc>
      </w:tr>
      <w:tr w:rsidR="00B569C0" w14:paraId="1CF3F234" w14:textId="77777777">
        <w:trPr>
          <w:trHeight w:val="253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435E8C59" w14:textId="77777777" w:rsidR="00B569C0" w:rsidRDefault="00861F37">
            <w:pPr>
              <w:ind w:right="47"/>
            </w:pPr>
            <w:r>
              <w:rPr>
                <w:rFonts w:ascii="Times New Roman" w:eastAsia="Times New Roman" w:hAnsi="Times New Roman" w:cs="Times New Roman"/>
                <w:sz w:val="20"/>
              </w:rPr>
              <w:t xml:space="preserve">Numer zgłoszenia budowy,  o której mowa w art. 29 ust. 1 pkt 1 ustawy z dnia 7 lipca 1994 r. – Prawo budowlane (Dz. U. z 2023 r. poz. 682, z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xml:space="preserve">. zm.), oraz oznaczenie organu, do którego dokonano zgłoszenia, wraz z informacją o braku wniesienia sprzeciwu przez ten organ </w:t>
            </w:r>
          </w:p>
        </w:tc>
        <w:tc>
          <w:tcPr>
            <w:tcW w:w="3256" w:type="dxa"/>
            <w:tcBorders>
              <w:top w:val="single" w:sz="4" w:space="0" w:color="000000"/>
              <w:left w:val="single" w:sz="4" w:space="0" w:color="000000"/>
              <w:bottom w:val="single" w:sz="4" w:space="0" w:color="000000"/>
              <w:right w:val="nil"/>
            </w:tcBorders>
          </w:tcPr>
          <w:p w14:paraId="4E2FF620" w14:textId="77777777" w:rsidR="003C4EA5" w:rsidRDefault="003C4EA5">
            <w:pPr>
              <w:ind w:left="2"/>
              <w:rPr>
                <w:rFonts w:ascii="Times New Roman" w:eastAsia="Times New Roman" w:hAnsi="Times New Roman" w:cs="Times New Roman"/>
                <w:sz w:val="20"/>
              </w:rPr>
            </w:pPr>
          </w:p>
          <w:p w14:paraId="68371C47" w14:textId="77777777" w:rsidR="003C4EA5" w:rsidRDefault="003C4EA5">
            <w:pPr>
              <w:ind w:left="2"/>
              <w:rPr>
                <w:rFonts w:ascii="Times New Roman" w:eastAsia="Times New Roman" w:hAnsi="Times New Roman" w:cs="Times New Roman"/>
                <w:sz w:val="20"/>
              </w:rPr>
            </w:pPr>
          </w:p>
          <w:p w14:paraId="1D3B0787" w14:textId="11046881" w:rsidR="00B569C0" w:rsidRDefault="002849D4">
            <w:pPr>
              <w:ind w:left="2"/>
            </w:pPr>
            <w:r>
              <w:t>Nie dotyczy</w:t>
            </w:r>
          </w:p>
        </w:tc>
        <w:tc>
          <w:tcPr>
            <w:tcW w:w="3418" w:type="dxa"/>
            <w:tcBorders>
              <w:top w:val="single" w:sz="4" w:space="0" w:color="000000"/>
              <w:left w:val="nil"/>
              <w:bottom w:val="single" w:sz="4" w:space="0" w:color="000000"/>
              <w:right w:val="single" w:sz="4" w:space="0" w:color="000000"/>
            </w:tcBorders>
          </w:tcPr>
          <w:p w14:paraId="7C9C8DAC" w14:textId="77777777" w:rsidR="00B569C0" w:rsidRDefault="00B569C0"/>
        </w:tc>
      </w:tr>
      <w:tr w:rsidR="00B569C0" w14:paraId="179CBF2C" w14:textId="77777777">
        <w:trPr>
          <w:trHeight w:val="75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559F6BF6" w14:textId="77777777" w:rsidR="00B569C0" w:rsidRDefault="00861F37">
            <w:r>
              <w:rPr>
                <w:rFonts w:ascii="Times New Roman" w:eastAsia="Times New Roman" w:hAnsi="Times New Roman" w:cs="Times New Roman"/>
                <w:sz w:val="20"/>
              </w:rPr>
              <w:t xml:space="preserve">Data zakończenia budowy domu jednorodzinnego </w:t>
            </w:r>
          </w:p>
        </w:tc>
        <w:tc>
          <w:tcPr>
            <w:tcW w:w="3256" w:type="dxa"/>
            <w:tcBorders>
              <w:top w:val="single" w:sz="4" w:space="0" w:color="000000"/>
              <w:left w:val="single" w:sz="4" w:space="0" w:color="000000"/>
              <w:bottom w:val="single" w:sz="4" w:space="0" w:color="000000"/>
              <w:right w:val="nil"/>
            </w:tcBorders>
          </w:tcPr>
          <w:p w14:paraId="5FFDA99C" w14:textId="1ED7550D" w:rsidR="00B569C0" w:rsidRDefault="00861F37">
            <w:pPr>
              <w:ind w:left="2"/>
            </w:pPr>
            <w:r>
              <w:rPr>
                <w:rFonts w:ascii="Times New Roman" w:eastAsia="Times New Roman" w:hAnsi="Times New Roman" w:cs="Times New Roman"/>
                <w:sz w:val="20"/>
              </w:rPr>
              <w:t xml:space="preserve"> </w:t>
            </w:r>
            <w:r w:rsidR="00093CC5">
              <w:rPr>
                <w:sz w:val="18"/>
              </w:rPr>
              <w:t>-----------------------------------</w:t>
            </w:r>
          </w:p>
        </w:tc>
        <w:tc>
          <w:tcPr>
            <w:tcW w:w="3418" w:type="dxa"/>
            <w:tcBorders>
              <w:top w:val="single" w:sz="4" w:space="0" w:color="000000"/>
              <w:left w:val="nil"/>
              <w:bottom w:val="single" w:sz="4" w:space="0" w:color="000000"/>
              <w:right w:val="single" w:sz="4" w:space="0" w:color="000000"/>
            </w:tcBorders>
          </w:tcPr>
          <w:p w14:paraId="2160BF6F" w14:textId="77777777" w:rsidR="00B569C0" w:rsidRDefault="00B569C0"/>
        </w:tc>
      </w:tr>
      <w:tr w:rsidR="00B569C0" w14:paraId="612EEB2A" w14:textId="77777777">
        <w:trPr>
          <w:trHeight w:val="720"/>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735EB726" w14:textId="77777777" w:rsidR="00B569C0" w:rsidRDefault="00861F37">
            <w:pPr>
              <w:ind w:right="100"/>
            </w:pPr>
            <w:r>
              <w:rPr>
                <w:rFonts w:ascii="Times New Roman" w:eastAsia="Times New Roman" w:hAnsi="Times New Roman" w:cs="Times New Roman"/>
                <w:sz w:val="20"/>
              </w:rPr>
              <w:t xml:space="preserve">Planowany termin rozpoczęcia i zakończenia robót budowlanych </w:t>
            </w:r>
          </w:p>
        </w:tc>
        <w:tc>
          <w:tcPr>
            <w:tcW w:w="3256" w:type="dxa"/>
            <w:tcBorders>
              <w:top w:val="single" w:sz="4" w:space="0" w:color="000000"/>
              <w:left w:val="single" w:sz="4" w:space="0" w:color="000000"/>
              <w:bottom w:val="single" w:sz="4" w:space="0" w:color="000000"/>
              <w:right w:val="nil"/>
            </w:tcBorders>
          </w:tcPr>
          <w:p w14:paraId="367E8B88" w14:textId="1B5C508A" w:rsidR="007D093A" w:rsidRPr="00B258AD" w:rsidRDefault="00861F37" w:rsidP="007D093A">
            <w:pPr>
              <w:pStyle w:val="TableParagraph"/>
              <w:rPr>
                <w:b/>
                <w:bCs/>
                <w:sz w:val="18"/>
              </w:rPr>
            </w:pPr>
            <w:r>
              <w:rPr>
                <w:sz w:val="20"/>
              </w:rPr>
              <w:t xml:space="preserve"> </w:t>
            </w:r>
            <w:r w:rsidR="007D093A" w:rsidRPr="00B258AD">
              <w:rPr>
                <w:b/>
                <w:bCs/>
                <w:sz w:val="18"/>
              </w:rPr>
              <w:t>Termin rozpoczęcia prac budowlanych</w:t>
            </w:r>
            <w:r w:rsidR="0096434C">
              <w:rPr>
                <w:b/>
                <w:bCs/>
                <w:sz w:val="18"/>
              </w:rPr>
              <w:t xml:space="preserve"> -  </w:t>
            </w:r>
            <w:r w:rsidR="007D093A">
              <w:rPr>
                <w:b/>
                <w:bCs/>
                <w:sz w:val="18"/>
              </w:rPr>
              <w:t>09</w:t>
            </w:r>
            <w:r w:rsidR="007D093A" w:rsidRPr="00B258AD">
              <w:rPr>
                <w:b/>
                <w:bCs/>
                <w:sz w:val="18"/>
              </w:rPr>
              <w:t>.</w:t>
            </w:r>
            <w:r w:rsidR="007D093A">
              <w:rPr>
                <w:b/>
                <w:bCs/>
                <w:sz w:val="18"/>
              </w:rPr>
              <w:t>12</w:t>
            </w:r>
            <w:r w:rsidR="000409C2">
              <w:rPr>
                <w:b/>
                <w:bCs/>
                <w:sz w:val="18"/>
              </w:rPr>
              <w:t>.</w:t>
            </w:r>
            <w:r w:rsidR="007D093A" w:rsidRPr="00B258AD">
              <w:rPr>
                <w:b/>
                <w:bCs/>
                <w:sz w:val="18"/>
              </w:rPr>
              <w:t>202</w:t>
            </w:r>
            <w:r w:rsidR="000409C2">
              <w:rPr>
                <w:b/>
                <w:bCs/>
                <w:sz w:val="18"/>
              </w:rPr>
              <w:t>4</w:t>
            </w:r>
            <w:r w:rsidR="007D093A" w:rsidRPr="00B258AD">
              <w:rPr>
                <w:b/>
                <w:bCs/>
                <w:sz w:val="18"/>
              </w:rPr>
              <w:t xml:space="preserve"> r.</w:t>
            </w:r>
          </w:p>
          <w:p w14:paraId="13A5278A" w14:textId="44D9D54A" w:rsidR="00B569C0" w:rsidRDefault="007D093A" w:rsidP="007D093A">
            <w:pPr>
              <w:ind w:left="2"/>
            </w:pPr>
            <w:r w:rsidRPr="00B258AD">
              <w:rPr>
                <w:b/>
                <w:bCs/>
                <w:sz w:val="18"/>
              </w:rPr>
              <w:t>Termin zakończenia prac budowlanych – 31.0</w:t>
            </w:r>
            <w:r w:rsidR="0034189A">
              <w:rPr>
                <w:b/>
                <w:bCs/>
                <w:sz w:val="18"/>
              </w:rPr>
              <w:t>3</w:t>
            </w:r>
            <w:r w:rsidRPr="00B258AD">
              <w:rPr>
                <w:b/>
                <w:bCs/>
                <w:sz w:val="18"/>
              </w:rPr>
              <w:t>.202</w:t>
            </w:r>
            <w:r w:rsidR="000409C2">
              <w:rPr>
                <w:b/>
                <w:bCs/>
                <w:sz w:val="18"/>
              </w:rPr>
              <w:t>6</w:t>
            </w:r>
            <w:r w:rsidRPr="00B258AD">
              <w:rPr>
                <w:b/>
                <w:bCs/>
                <w:sz w:val="18"/>
              </w:rPr>
              <w:t>r.</w:t>
            </w:r>
          </w:p>
        </w:tc>
        <w:tc>
          <w:tcPr>
            <w:tcW w:w="3418" w:type="dxa"/>
            <w:tcBorders>
              <w:top w:val="single" w:sz="4" w:space="0" w:color="000000"/>
              <w:left w:val="nil"/>
              <w:bottom w:val="single" w:sz="4" w:space="0" w:color="000000"/>
              <w:right w:val="single" w:sz="4" w:space="0" w:color="000000"/>
            </w:tcBorders>
          </w:tcPr>
          <w:p w14:paraId="41EAA0FD" w14:textId="77777777" w:rsidR="00B569C0" w:rsidRDefault="00B569C0"/>
        </w:tc>
      </w:tr>
      <w:tr w:rsidR="00B569C0" w14:paraId="3D71C7FB" w14:textId="77777777">
        <w:trPr>
          <w:trHeight w:val="466"/>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000A19E" w14:textId="77777777" w:rsidR="00B569C0" w:rsidRDefault="00861F37">
            <w:r>
              <w:rPr>
                <w:rFonts w:ascii="Times New Roman" w:eastAsia="Times New Roman" w:hAnsi="Times New Roman" w:cs="Times New Roman"/>
                <w:sz w:val="20"/>
              </w:rPr>
              <w:t xml:space="preserve">Opis przedsięwzięcia deweloperskiego lub zadania inwestycyjnego </w:t>
            </w:r>
          </w:p>
        </w:tc>
        <w:tc>
          <w:tcPr>
            <w:tcW w:w="3256" w:type="dxa"/>
            <w:tcBorders>
              <w:top w:val="single" w:sz="4" w:space="0" w:color="000000"/>
              <w:left w:val="single" w:sz="4" w:space="0" w:color="000000"/>
              <w:bottom w:val="single" w:sz="4" w:space="0" w:color="000000"/>
              <w:right w:val="single" w:sz="4" w:space="0" w:color="000000"/>
            </w:tcBorders>
          </w:tcPr>
          <w:p w14:paraId="134511CD" w14:textId="77777777" w:rsidR="00B569C0" w:rsidRDefault="00861F37">
            <w:pPr>
              <w:ind w:left="2"/>
            </w:pPr>
            <w:r>
              <w:rPr>
                <w:rFonts w:ascii="Times New Roman" w:eastAsia="Times New Roman" w:hAnsi="Times New Roman" w:cs="Times New Roman"/>
                <w:sz w:val="20"/>
              </w:rPr>
              <w:t xml:space="preserve">Liczba budynków </w:t>
            </w:r>
          </w:p>
        </w:tc>
        <w:tc>
          <w:tcPr>
            <w:tcW w:w="3418" w:type="dxa"/>
            <w:tcBorders>
              <w:top w:val="single" w:sz="4" w:space="0" w:color="000000"/>
              <w:left w:val="single" w:sz="4" w:space="0" w:color="000000"/>
              <w:bottom w:val="single" w:sz="4" w:space="0" w:color="000000"/>
              <w:right w:val="single" w:sz="4" w:space="0" w:color="000000"/>
            </w:tcBorders>
          </w:tcPr>
          <w:p w14:paraId="67C4ECB2" w14:textId="060780E5" w:rsidR="00B569C0" w:rsidRPr="009270AE" w:rsidRDefault="00304049">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B44C52" w:rsidRPr="009270AE">
              <w:rPr>
                <w:rFonts w:ascii="Times New Roman" w:eastAsia="Times New Roman" w:hAnsi="Times New Roman" w:cs="Times New Roman"/>
                <w:sz w:val="20"/>
                <w:szCs w:val="20"/>
              </w:rPr>
              <w:t>budynk</w:t>
            </w:r>
            <w:r>
              <w:rPr>
                <w:rFonts w:ascii="Times New Roman" w:eastAsia="Times New Roman" w:hAnsi="Times New Roman" w:cs="Times New Roman"/>
                <w:sz w:val="20"/>
                <w:szCs w:val="20"/>
              </w:rPr>
              <w:t>ó</w:t>
            </w:r>
            <w:r w:rsidR="00312EDD" w:rsidRPr="009270AE">
              <w:rPr>
                <w:rFonts w:ascii="Times New Roman" w:eastAsia="Times New Roman" w:hAnsi="Times New Roman" w:cs="Times New Roman"/>
                <w:sz w:val="20"/>
                <w:szCs w:val="20"/>
              </w:rPr>
              <w:t>w</w:t>
            </w:r>
            <w:r>
              <w:rPr>
                <w:rFonts w:ascii="Times New Roman" w:eastAsia="Times New Roman" w:hAnsi="Times New Roman" w:cs="Times New Roman"/>
                <w:sz w:val="20"/>
                <w:szCs w:val="20"/>
              </w:rPr>
              <w:t xml:space="preserve"> w</w:t>
            </w:r>
            <w:r w:rsidR="00312EDD" w:rsidRPr="009270AE">
              <w:rPr>
                <w:rFonts w:ascii="Times New Roman" w:eastAsia="Times New Roman" w:hAnsi="Times New Roman" w:cs="Times New Roman"/>
                <w:sz w:val="20"/>
                <w:szCs w:val="20"/>
              </w:rPr>
              <w:t xml:space="preserve"> zabudowie szeregowej</w:t>
            </w:r>
          </w:p>
          <w:p w14:paraId="5BC8B26C" w14:textId="08B955EA" w:rsidR="00290078" w:rsidRPr="00290078" w:rsidRDefault="00290078">
            <w:pPr>
              <w:ind w:left="1"/>
            </w:pPr>
            <w:r w:rsidRPr="009270AE">
              <w:rPr>
                <w:sz w:val="20"/>
                <w:szCs w:val="20"/>
              </w:rPr>
              <w:t>zagospodarowaną działką, dojazdem i infrastrukturą techniczną</w:t>
            </w:r>
          </w:p>
        </w:tc>
      </w:tr>
      <w:tr w:rsidR="00B569C0" w14:paraId="765EDE28" w14:textId="77777777">
        <w:trPr>
          <w:trHeight w:val="1094"/>
        </w:trPr>
        <w:tc>
          <w:tcPr>
            <w:tcW w:w="0" w:type="auto"/>
            <w:vMerge/>
            <w:tcBorders>
              <w:top w:val="nil"/>
              <w:left w:val="single" w:sz="4" w:space="0" w:color="000000"/>
              <w:bottom w:val="single" w:sz="4" w:space="0" w:color="000000"/>
              <w:right w:val="single" w:sz="4" w:space="0" w:color="000000"/>
            </w:tcBorders>
          </w:tcPr>
          <w:p w14:paraId="5111AD7E"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E39954A" w14:textId="77777777" w:rsidR="00B569C0" w:rsidRDefault="00861F37">
            <w:pPr>
              <w:ind w:left="2" w:right="52"/>
              <w:jc w:val="both"/>
            </w:pPr>
            <w:r>
              <w:rPr>
                <w:rFonts w:ascii="Times New Roman" w:eastAsia="Times New Roman" w:hAnsi="Times New Roman" w:cs="Times New Roman"/>
                <w:sz w:val="20"/>
              </w:rPr>
              <w:t xml:space="preserve">Rozmieszczenie budynków na nieruchomości (należy podać minimalny odstęp między budynkami) </w:t>
            </w:r>
          </w:p>
        </w:tc>
        <w:tc>
          <w:tcPr>
            <w:tcW w:w="3418" w:type="dxa"/>
            <w:tcBorders>
              <w:top w:val="single" w:sz="4" w:space="0" w:color="000000"/>
              <w:left w:val="single" w:sz="4" w:space="0" w:color="000000"/>
              <w:bottom w:val="single" w:sz="4" w:space="0" w:color="000000"/>
              <w:right w:val="single" w:sz="4" w:space="0" w:color="000000"/>
            </w:tcBorders>
          </w:tcPr>
          <w:p w14:paraId="7220FB8A" w14:textId="49352A67" w:rsidR="00B569C0" w:rsidRDefault="00861F37">
            <w:pPr>
              <w:ind w:left="1"/>
            </w:pPr>
            <w:r>
              <w:rPr>
                <w:rFonts w:ascii="Times New Roman" w:eastAsia="Times New Roman" w:hAnsi="Times New Roman" w:cs="Times New Roman"/>
                <w:sz w:val="20"/>
              </w:rPr>
              <w:t xml:space="preserve"> </w:t>
            </w:r>
            <w:r w:rsidR="00965C67">
              <w:rPr>
                <w:rFonts w:ascii="Times New Roman" w:eastAsia="Times New Roman" w:hAnsi="Times New Roman" w:cs="Times New Roman"/>
                <w:sz w:val="20"/>
              </w:rPr>
              <w:t>8,2m</w:t>
            </w:r>
          </w:p>
        </w:tc>
      </w:tr>
      <w:tr w:rsidR="00B569C0" w14:paraId="125CE744" w14:textId="77777777">
        <w:trPr>
          <w:trHeight w:val="106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307D9CA5" w14:textId="77777777" w:rsidR="00B569C0" w:rsidRDefault="00861F37">
            <w:r>
              <w:rPr>
                <w:rFonts w:ascii="Times New Roman" w:eastAsia="Times New Roman" w:hAnsi="Times New Roman" w:cs="Times New Roman"/>
                <w:sz w:val="20"/>
              </w:rPr>
              <w:t xml:space="preserve">Sposób pomiaru powierzchni użytkowej lokalu mieszkalnego albo domu jednorodzinnego </w:t>
            </w:r>
          </w:p>
        </w:tc>
        <w:tc>
          <w:tcPr>
            <w:tcW w:w="3256" w:type="dxa"/>
            <w:tcBorders>
              <w:top w:val="single" w:sz="4" w:space="0" w:color="000000"/>
              <w:left w:val="single" w:sz="4" w:space="0" w:color="000000"/>
              <w:bottom w:val="single" w:sz="4" w:space="0" w:color="000000"/>
              <w:right w:val="nil"/>
            </w:tcBorders>
          </w:tcPr>
          <w:p w14:paraId="683067F7" w14:textId="77777777" w:rsidR="00B569C0" w:rsidRDefault="00861F37">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DEF2002" w14:textId="3F2C0695" w:rsidR="000937A4" w:rsidRDefault="000937A4">
            <w:pPr>
              <w:ind w:left="2"/>
            </w:pPr>
            <w:r>
              <w:t>PN-ISO 9836</w:t>
            </w:r>
          </w:p>
        </w:tc>
        <w:tc>
          <w:tcPr>
            <w:tcW w:w="3418" w:type="dxa"/>
            <w:tcBorders>
              <w:top w:val="single" w:sz="4" w:space="0" w:color="000000"/>
              <w:left w:val="nil"/>
              <w:bottom w:val="single" w:sz="4" w:space="0" w:color="000000"/>
              <w:right w:val="single" w:sz="4" w:space="0" w:color="000000"/>
            </w:tcBorders>
          </w:tcPr>
          <w:p w14:paraId="39ABE42A" w14:textId="77777777" w:rsidR="00B569C0" w:rsidRDefault="00B569C0"/>
        </w:tc>
      </w:tr>
      <w:tr w:rsidR="00B569C0" w14:paraId="648C8149" w14:textId="77777777">
        <w:trPr>
          <w:trHeight w:val="1034"/>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120E489" w14:textId="77777777" w:rsidR="00B569C0" w:rsidRDefault="00861F37">
            <w:r>
              <w:rPr>
                <w:rFonts w:ascii="Times New Roman" w:eastAsia="Times New Roman" w:hAnsi="Times New Roman" w:cs="Times New Roman"/>
                <w:sz w:val="20"/>
              </w:rPr>
              <w:t xml:space="preserve">Zamierzony sposób i procentowy udział źródeł finansowania przedsięwzięcia deweloperskiego lub zadania inwestycyjnego </w:t>
            </w:r>
          </w:p>
        </w:tc>
        <w:tc>
          <w:tcPr>
            <w:tcW w:w="3256" w:type="dxa"/>
            <w:tcBorders>
              <w:top w:val="single" w:sz="4" w:space="0" w:color="000000"/>
              <w:left w:val="single" w:sz="4" w:space="0" w:color="000000"/>
              <w:bottom w:val="single" w:sz="4" w:space="0" w:color="000000"/>
              <w:right w:val="single" w:sz="4" w:space="0" w:color="000000"/>
            </w:tcBorders>
          </w:tcPr>
          <w:p w14:paraId="35EC2487" w14:textId="77777777" w:rsidR="00B569C0" w:rsidRDefault="00861F37">
            <w:pPr>
              <w:ind w:left="2"/>
            </w:pPr>
            <w:r>
              <w:rPr>
                <w:rFonts w:ascii="Times New Roman" w:eastAsia="Times New Roman" w:hAnsi="Times New Roman" w:cs="Times New Roman"/>
                <w:sz w:val="20"/>
              </w:rPr>
              <w:t xml:space="preserve">Rodzaj posiadanych środków finansowych – kredyt, środki własne, inne </w:t>
            </w:r>
          </w:p>
        </w:tc>
        <w:tc>
          <w:tcPr>
            <w:tcW w:w="3418" w:type="dxa"/>
            <w:tcBorders>
              <w:top w:val="single" w:sz="4" w:space="0" w:color="000000"/>
              <w:left w:val="single" w:sz="4" w:space="0" w:color="000000"/>
              <w:bottom w:val="single" w:sz="4" w:space="0" w:color="000000"/>
              <w:right w:val="single" w:sz="4" w:space="0" w:color="000000"/>
            </w:tcBorders>
          </w:tcPr>
          <w:p w14:paraId="3F4210D5" w14:textId="7E02F8F5" w:rsidR="00B569C0" w:rsidRDefault="00861F37">
            <w:pPr>
              <w:ind w:left="1"/>
            </w:pPr>
            <w:r>
              <w:rPr>
                <w:rFonts w:ascii="Times New Roman" w:eastAsia="Times New Roman" w:hAnsi="Times New Roman" w:cs="Times New Roman"/>
                <w:sz w:val="20"/>
              </w:rPr>
              <w:t xml:space="preserve"> </w:t>
            </w:r>
            <w:r w:rsidR="00D0256B">
              <w:rPr>
                <w:rFonts w:ascii="Times New Roman" w:eastAsia="Times New Roman" w:hAnsi="Times New Roman" w:cs="Times New Roman"/>
                <w:sz w:val="20"/>
              </w:rPr>
              <w:t>Środki własne</w:t>
            </w:r>
          </w:p>
        </w:tc>
      </w:tr>
      <w:tr w:rsidR="00B569C0" w14:paraId="6706C122" w14:textId="77777777">
        <w:trPr>
          <w:trHeight w:val="993"/>
        </w:trPr>
        <w:tc>
          <w:tcPr>
            <w:tcW w:w="0" w:type="auto"/>
            <w:vMerge/>
            <w:tcBorders>
              <w:top w:val="nil"/>
              <w:left w:val="single" w:sz="4" w:space="0" w:color="000000"/>
              <w:bottom w:val="single" w:sz="4" w:space="0" w:color="000000"/>
              <w:right w:val="single" w:sz="4" w:space="0" w:color="000000"/>
            </w:tcBorders>
          </w:tcPr>
          <w:p w14:paraId="7D48B96A"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69FE06ED" w14:textId="77777777" w:rsidR="00B569C0" w:rsidRDefault="00861F37">
            <w:pPr>
              <w:ind w:left="2" w:right="689"/>
            </w:pPr>
            <w:r>
              <w:rPr>
                <w:rFonts w:ascii="Times New Roman" w:eastAsia="Times New Roman" w:hAnsi="Times New Roman" w:cs="Times New Roman"/>
                <w:sz w:val="20"/>
              </w:rPr>
              <w:t xml:space="preserve">W następujących instytucjach finansowych (wypełnia się w przypadku kredytu) </w:t>
            </w:r>
          </w:p>
        </w:tc>
        <w:tc>
          <w:tcPr>
            <w:tcW w:w="3418" w:type="dxa"/>
            <w:tcBorders>
              <w:top w:val="single" w:sz="4" w:space="0" w:color="000000"/>
              <w:left w:val="single" w:sz="4" w:space="0" w:color="000000"/>
              <w:bottom w:val="single" w:sz="4" w:space="0" w:color="000000"/>
              <w:right w:val="single" w:sz="4" w:space="0" w:color="000000"/>
            </w:tcBorders>
          </w:tcPr>
          <w:p w14:paraId="515C8FD5" w14:textId="56568EAA" w:rsidR="00B569C0" w:rsidRDefault="00861F37">
            <w:pPr>
              <w:ind w:left="1"/>
            </w:pPr>
            <w:r>
              <w:rPr>
                <w:rFonts w:ascii="Times New Roman" w:eastAsia="Times New Roman" w:hAnsi="Times New Roman" w:cs="Times New Roman"/>
                <w:sz w:val="20"/>
              </w:rPr>
              <w:t xml:space="preserve"> </w:t>
            </w:r>
            <w:r w:rsidR="00F95A39">
              <w:rPr>
                <w:rFonts w:ascii="Times New Roman" w:eastAsia="Times New Roman" w:hAnsi="Times New Roman" w:cs="Times New Roman"/>
                <w:sz w:val="20"/>
              </w:rPr>
              <w:t>------------</w:t>
            </w:r>
          </w:p>
        </w:tc>
      </w:tr>
      <w:tr w:rsidR="00B569C0" w14:paraId="68B35966" w14:textId="77777777">
        <w:trPr>
          <w:trHeight w:val="169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92C1EA1" w14:textId="77777777" w:rsidR="00B569C0" w:rsidRDefault="00861F37">
            <w:r>
              <w:rPr>
                <w:rFonts w:ascii="Times New Roman" w:eastAsia="Times New Roman" w:hAnsi="Times New Roman" w:cs="Times New Roman"/>
                <w:sz w:val="20"/>
              </w:rPr>
              <w:lastRenderedPageBreak/>
              <w:t xml:space="preserve">Środki ochrony nabywców </w:t>
            </w:r>
          </w:p>
        </w:tc>
        <w:tc>
          <w:tcPr>
            <w:tcW w:w="3256" w:type="dxa"/>
            <w:tcBorders>
              <w:top w:val="single" w:sz="4" w:space="0" w:color="000000"/>
              <w:left w:val="single" w:sz="4" w:space="0" w:color="000000"/>
              <w:bottom w:val="single" w:sz="4" w:space="0" w:color="000000"/>
              <w:right w:val="single" w:sz="4" w:space="0" w:color="000000"/>
            </w:tcBorders>
          </w:tcPr>
          <w:p w14:paraId="7C9FC1D4" w14:textId="77777777" w:rsidR="00B569C0" w:rsidRDefault="00861F37">
            <w:pPr>
              <w:ind w:left="2"/>
            </w:pPr>
            <w:r>
              <w:rPr>
                <w:rFonts w:ascii="Times New Roman" w:eastAsia="Times New Roman" w:hAnsi="Times New Roman" w:cs="Times New Roman"/>
                <w:sz w:val="20"/>
              </w:rPr>
              <w:t xml:space="preserve">Otwarty mieszkaniowy rachunek powierniczy* </w:t>
            </w:r>
          </w:p>
        </w:tc>
        <w:tc>
          <w:tcPr>
            <w:tcW w:w="3418" w:type="dxa"/>
            <w:tcBorders>
              <w:top w:val="single" w:sz="4" w:space="0" w:color="000000"/>
              <w:left w:val="single" w:sz="4" w:space="0" w:color="000000"/>
              <w:bottom w:val="single" w:sz="4" w:space="0" w:color="000000"/>
              <w:right w:val="single" w:sz="4" w:space="0" w:color="000000"/>
            </w:tcBorders>
          </w:tcPr>
          <w:p w14:paraId="17DBDCD3" w14:textId="77777777" w:rsidR="00B569C0" w:rsidRPr="004153AF" w:rsidRDefault="00861F37">
            <w:pPr>
              <w:ind w:left="1"/>
            </w:pPr>
            <w:r w:rsidRPr="004153AF">
              <w:rPr>
                <w:rFonts w:ascii="Times New Roman" w:eastAsia="Times New Roman" w:hAnsi="Times New Roman" w:cs="Times New Roman"/>
                <w:strike/>
                <w:sz w:val="20"/>
              </w:rPr>
              <w:t xml:space="preserve">Zamknięty mieszkaniowy rachunek powierniczy* </w:t>
            </w:r>
          </w:p>
        </w:tc>
      </w:tr>
      <w:tr w:rsidR="00B569C0" w14:paraId="11FB88F5" w14:textId="77777777">
        <w:trPr>
          <w:trHeight w:val="1147"/>
        </w:trPr>
        <w:tc>
          <w:tcPr>
            <w:tcW w:w="0" w:type="auto"/>
            <w:vMerge/>
            <w:tcBorders>
              <w:top w:val="nil"/>
              <w:left w:val="single" w:sz="4" w:space="0" w:color="000000"/>
              <w:bottom w:val="single" w:sz="4" w:space="0" w:color="000000"/>
              <w:right w:val="single" w:sz="4" w:space="0" w:color="000000"/>
            </w:tcBorders>
          </w:tcPr>
          <w:p w14:paraId="43799A96"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2B2C41FD" w14:textId="77777777" w:rsidR="00B569C0" w:rsidRDefault="00861F37">
            <w:pPr>
              <w:ind w:left="2"/>
            </w:pPr>
            <w:r>
              <w:rPr>
                <w:rFonts w:ascii="Times New Roman" w:eastAsia="Times New Roman" w:hAnsi="Times New Roman" w:cs="Times New Roman"/>
                <w:sz w:val="20"/>
              </w:rPr>
              <w:t>Wysokość stawki procentowej, według której jest obliczana kwota składki na Deweloperski Fundusz Gwarancyjny</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3418" w:type="dxa"/>
            <w:tcBorders>
              <w:top w:val="single" w:sz="4" w:space="0" w:color="000000"/>
              <w:left w:val="single" w:sz="4" w:space="0" w:color="000000"/>
              <w:bottom w:val="single" w:sz="4" w:space="0" w:color="000000"/>
              <w:right w:val="single" w:sz="4" w:space="0" w:color="000000"/>
            </w:tcBorders>
          </w:tcPr>
          <w:p w14:paraId="5BEC440D" w14:textId="0147CF43" w:rsidR="00B569C0" w:rsidRDefault="00861F37">
            <w:pPr>
              <w:ind w:left="1"/>
            </w:pPr>
            <w:r>
              <w:rPr>
                <w:rFonts w:ascii="Times New Roman" w:eastAsia="Times New Roman" w:hAnsi="Times New Roman" w:cs="Times New Roman"/>
                <w:sz w:val="20"/>
              </w:rPr>
              <w:t xml:space="preserve"> </w:t>
            </w:r>
            <w:r w:rsidR="00506512" w:rsidRPr="0052006E">
              <w:rPr>
                <w:b/>
                <w:bCs/>
                <w:sz w:val="18"/>
              </w:rPr>
              <w:t>0,</w:t>
            </w:r>
            <w:r w:rsidR="00247940">
              <w:rPr>
                <w:b/>
                <w:bCs/>
                <w:sz w:val="18"/>
              </w:rPr>
              <w:t>45</w:t>
            </w:r>
            <w:r w:rsidR="00506512" w:rsidRPr="0052006E">
              <w:rPr>
                <w:b/>
                <w:bCs/>
                <w:sz w:val="18"/>
              </w:rPr>
              <w:t>%</w:t>
            </w:r>
          </w:p>
        </w:tc>
      </w:tr>
    </w:tbl>
    <w:p w14:paraId="79C1D77F" w14:textId="77777777" w:rsidR="00B569C0" w:rsidRDefault="00861F37">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1C7521B1" w14:textId="77777777" w:rsidR="00B569C0" w:rsidRDefault="00861F37">
      <w:pPr>
        <w:spacing w:after="0" w:line="262" w:lineRule="auto"/>
        <w:ind w:left="280" w:hanging="280"/>
        <w:jc w:val="both"/>
      </w:pPr>
      <w:r>
        <w:rPr>
          <w:rFonts w:ascii="Times New Roman" w:eastAsia="Times New Roman" w:hAnsi="Times New Roman" w:cs="Times New Roman"/>
          <w:sz w:val="18"/>
          <w:vertAlign w:val="superscript"/>
        </w:rPr>
        <w:t>7)</w:t>
      </w:r>
      <w:r>
        <w:rPr>
          <w:rFonts w:ascii="Times New Roman" w:eastAsia="Times New Roman" w:hAnsi="Times New Roman" w:cs="Times New Roman"/>
          <w:sz w:val="18"/>
        </w:rPr>
        <w:t xml:space="preserve"> 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549A5532" w14:textId="77777777" w:rsidR="00B569C0" w:rsidRDefault="00861F37">
      <w:pPr>
        <w:spacing w:after="18"/>
      </w:pPr>
      <w:r>
        <w:rPr>
          <w:rFonts w:ascii="Times New Roman" w:eastAsia="Times New Roman" w:hAnsi="Times New Roman" w:cs="Times New Roman"/>
          <w:sz w:val="18"/>
        </w:rPr>
        <w:t xml:space="preserve"> </w:t>
      </w:r>
    </w:p>
    <w:p w14:paraId="3FC34D75" w14:textId="77777777" w:rsidR="00B569C0" w:rsidRDefault="00861F37">
      <w:pPr>
        <w:spacing w:after="30" w:line="262" w:lineRule="auto"/>
        <w:ind w:left="10" w:hanging="10"/>
        <w:jc w:val="both"/>
      </w:pP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Niepotrzebne skreślić. </w:t>
      </w:r>
    </w:p>
    <w:p w14:paraId="427F69BB" w14:textId="77777777" w:rsidR="00B569C0" w:rsidRDefault="00B569C0">
      <w:pPr>
        <w:spacing w:after="0"/>
        <w:ind w:left="-1020" w:right="218"/>
      </w:pPr>
    </w:p>
    <w:tbl>
      <w:tblPr>
        <w:tblStyle w:val="TableGrid"/>
        <w:tblW w:w="9644" w:type="dxa"/>
        <w:tblInd w:w="6" w:type="dxa"/>
        <w:tblCellMar>
          <w:top w:w="40" w:type="dxa"/>
          <w:left w:w="107" w:type="dxa"/>
          <w:right w:w="58" w:type="dxa"/>
        </w:tblCellMar>
        <w:tblLook w:val="04A0" w:firstRow="1" w:lastRow="0" w:firstColumn="1" w:lastColumn="0" w:noHBand="0" w:noVBand="1"/>
      </w:tblPr>
      <w:tblGrid>
        <w:gridCol w:w="2970"/>
        <w:gridCol w:w="6674"/>
      </w:tblGrid>
      <w:tr w:rsidR="00B569C0" w14:paraId="04CAEB41" w14:textId="77777777">
        <w:trPr>
          <w:trHeight w:val="98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2D07F7D0" w14:textId="77777777" w:rsidR="00B569C0" w:rsidRDefault="00861F37">
            <w:pPr>
              <w:ind w:right="6"/>
            </w:pPr>
            <w:r>
              <w:rPr>
                <w:rFonts w:ascii="Times New Roman" w:eastAsia="Times New Roman" w:hAnsi="Times New Roman" w:cs="Times New Roman"/>
                <w:sz w:val="20"/>
              </w:rPr>
              <w:t xml:space="preserve">Główne zasady funkcjonowania wybranego rodzaju zabezpieczenia środków nabywcy </w:t>
            </w:r>
          </w:p>
        </w:tc>
        <w:tc>
          <w:tcPr>
            <w:tcW w:w="6674" w:type="dxa"/>
            <w:tcBorders>
              <w:top w:val="single" w:sz="4" w:space="0" w:color="000000"/>
              <w:left w:val="single" w:sz="4" w:space="0" w:color="000000"/>
              <w:bottom w:val="single" w:sz="4" w:space="0" w:color="000000"/>
              <w:right w:val="single" w:sz="4" w:space="0" w:color="000000"/>
            </w:tcBorders>
          </w:tcPr>
          <w:p w14:paraId="71760EEF" w14:textId="77777777" w:rsidR="00AA04CD" w:rsidRDefault="00AA04CD" w:rsidP="00AA04CD">
            <w:pPr>
              <w:rPr>
                <w:rFonts w:ascii="Times New Roman" w:eastAsia="Times New Roman" w:hAnsi="Times New Roman" w:cs="Times New Roman"/>
                <w:color w:val="auto"/>
                <w:sz w:val="20"/>
              </w:rPr>
            </w:pPr>
            <w:r w:rsidRPr="00AA04CD">
              <w:rPr>
                <w:rFonts w:ascii="Times New Roman" w:eastAsia="Times New Roman" w:hAnsi="Times New Roman" w:cs="Times New Roman"/>
                <w:color w:val="auto"/>
                <w:sz w:val="20"/>
              </w:rPr>
              <w:t>Otwarty rachunek powierniczy służyć będzie do gromadzenia i przechowywania środków pieniężnych powierzonych przez nabywcę na podstawie umowy deweloperskiej. Nabywca będzie posiadał indywidualny numer rachunku. Bank wypłaca deweloperowi środki pieniężne wpłacone przez Nabywcę na otwarty  rachunek powierniczy po stwierdzeniu zakończenia danego etapu realizacji zadania deweloperskiego. Bank dokonuje kontroli zakończenia każdego z etapów zadania określonego w harmonogramie. Przed dokonaniem wypłaty z otwartego mieszkaniowego rachunku powierniczego na rzecz dewelopera i po potwierdzeniu przez wyznaczoną przez Bank osobę posiadającą odpowiednie uprawnienia budowlane.</w:t>
            </w:r>
          </w:p>
          <w:p w14:paraId="25BAA7FA" w14:textId="5927EC7F" w:rsidR="00B569C0" w:rsidRPr="00A86B32" w:rsidRDefault="00AA04CD" w:rsidP="00AA04CD">
            <w:pPr>
              <w:rPr>
                <w:color w:val="EE0000"/>
              </w:rPr>
            </w:pPr>
            <w:r w:rsidRPr="00AA04CD">
              <w:rPr>
                <w:rFonts w:ascii="Times New Roman" w:eastAsia="Times New Roman" w:hAnsi="Times New Roman" w:cs="Times New Roman"/>
                <w:color w:val="auto"/>
                <w:sz w:val="20"/>
              </w:rPr>
              <w:t>Wypłata środków pieniężnych w związku z zakończeniem ostatniego etapu przedsięwzięcia deweloperskiego nastąpi po stwierdzeniu zakończenia ostatniego etapu oraz dostarczeniu przez Dewelopera wypisu aktu notarialnego umowy przenoszącej na Nabywcę prawa wynikające z umowy deweloperskiej, w stanie wolnym od obciążeń, praw i roszczeń osób trzecich, z wyjątkiem obciążeń, na które wyraził zgodę Nabywca, wraz z wydrukiem z Centralnej Bazy Danych Ksiąg Wieczystych Ministerstwa Sprawiedliwości odpisu zwykłego księgi wieczystej pobranym w dniu sporządzenia w/w aktu notarialnego potwierdzającym powyższe.”</w:t>
            </w:r>
          </w:p>
        </w:tc>
      </w:tr>
      <w:tr w:rsidR="00B569C0" w14:paraId="08C291A6" w14:textId="77777777">
        <w:trPr>
          <w:trHeight w:val="9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77AFD063" w14:textId="77777777" w:rsidR="00B569C0" w:rsidRDefault="00861F37">
            <w:pPr>
              <w:ind w:right="28"/>
            </w:pPr>
            <w:r>
              <w:rPr>
                <w:rFonts w:ascii="Times New Roman" w:eastAsia="Times New Roman" w:hAnsi="Times New Roman" w:cs="Times New Roman"/>
                <w:sz w:val="20"/>
              </w:rPr>
              <w:t xml:space="preserve">Nazwa instytucji zapewniającej bezpieczeństwo środków nabywcy </w:t>
            </w:r>
          </w:p>
        </w:tc>
        <w:tc>
          <w:tcPr>
            <w:tcW w:w="6674" w:type="dxa"/>
            <w:tcBorders>
              <w:top w:val="single" w:sz="4" w:space="0" w:color="000000"/>
              <w:left w:val="single" w:sz="4" w:space="0" w:color="000000"/>
              <w:bottom w:val="single" w:sz="4" w:space="0" w:color="000000"/>
              <w:right w:val="single" w:sz="4" w:space="0" w:color="000000"/>
            </w:tcBorders>
          </w:tcPr>
          <w:p w14:paraId="2EDA5383" w14:textId="04AC6BF8" w:rsidR="00B569C0" w:rsidRDefault="00861F37">
            <w:pPr>
              <w:ind w:left="2"/>
            </w:pPr>
            <w:r>
              <w:rPr>
                <w:rFonts w:ascii="Times New Roman" w:eastAsia="Times New Roman" w:hAnsi="Times New Roman" w:cs="Times New Roman"/>
                <w:sz w:val="20"/>
              </w:rPr>
              <w:t xml:space="preserve"> </w:t>
            </w:r>
            <w:r w:rsidR="00247940" w:rsidRPr="00247940">
              <w:rPr>
                <w:rFonts w:ascii="Times New Roman" w:eastAsia="Times New Roman" w:hAnsi="Times New Roman" w:cs="Times New Roman"/>
                <w:sz w:val="20"/>
              </w:rPr>
              <w:t>Bank BPS S.A.</w:t>
            </w:r>
          </w:p>
        </w:tc>
      </w:tr>
      <w:tr w:rsidR="000F1D2B" w14:paraId="36C42A54" w14:textId="77777777" w:rsidTr="001F74D5">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2B5A449A" w14:textId="77777777" w:rsidR="000F1D2B" w:rsidRDefault="000F1D2B" w:rsidP="000F1D2B">
            <w:r>
              <w:rPr>
                <w:rFonts w:ascii="Times New Roman" w:eastAsia="Times New Roman" w:hAnsi="Times New Roman" w:cs="Times New Roman"/>
                <w:sz w:val="20"/>
              </w:rPr>
              <w:t xml:space="preserve">Harmonogram przedsięwzięcia deweloperskiego lub zadania inwestycyjnego </w:t>
            </w:r>
          </w:p>
        </w:tc>
        <w:tc>
          <w:tcPr>
            <w:tcW w:w="6674" w:type="dxa"/>
            <w:tcBorders>
              <w:top w:val="single" w:sz="4" w:space="0" w:color="000000"/>
              <w:left w:val="single" w:sz="4" w:space="0" w:color="000000"/>
              <w:bottom w:val="single" w:sz="4" w:space="0" w:color="000000"/>
              <w:right w:val="single" w:sz="4" w:space="0" w:color="000000"/>
            </w:tcBorders>
            <w:shd w:val="clear" w:color="auto" w:fill="auto"/>
          </w:tcPr>
          <w:p w14:paraId="2CDB2532" w14:textId="3EABA08A" w:rsidR="001F74D5" w:rsidRDefault="00705887" w:rsidP="00705887">
            <w:pPr>
              <w:pStyle w:val="NormalnyWeb"/>
              <w:rPr>
                <w:b/>
                <w:sz w:val="18"/>
                <w:szCs w:val="18"/>
              </w:rPr>
            </w:pPr>
            <w:r>
              <w:rPr>
                <w:b/>
                <w:sz w:val="18"/>
                <w:szCs w:val="18"/>
              </w:rPr>
              <w:t>·</w:t>
            </w:r>
            <w:r>
              <w:rPr>
                <w:sz w:val="18"/>
                <w:szCs w:val="18"/>
              </w:rPr>
              <w:t> </w:t>
            </w:r>
            <w:r>
              <w:rPr>
                <w:b/>
                <w:sz w:val="18"/>
                <w:szCs w:val="18"/>
              </w:rPr>
              <w:t>Etap 1 –</w:t>
            </w:r>
            <w:r w:rsidR="00655AB1">
              <w:rPr>
                <w:b/>
                <w:sz w:val="18"/>
                <w:szCs w:val="18"/>
              </w:rPr>
              <w:t xml:space="preserve"> 25%-</w:t>
            </w:r>
            <w:r>
              <w:rPr>
                <w:b/>
                <w:sz w:val="18"/>
                <w:szCs w:val="18"/>
              </w:rPr>
              <w:t xml:space="preserve"> </w:t>
            </w:r>
            <w:r w:rsidR="001F74D5" w:rsidRPr="001F74D5">
              <w:rPr>
                <w:b/>
                <w:sz w:val="18"/>
                <w:szCs w:val="18"/>
              </w:rPr>
              <w:t xml:space="preserve">Działka, prace projektowe, prace przygotowawcze oraz budowa -płyta fundamentowa   </w:t>
            </w:r>
            <w:r w:rsidR="001F74D5">
              <w:rPr>
                <w:b/>
                <w:sz w:val="18"/>
                <w:szCs w:val="18"/>
              </w:rPr>
              <w:t xml:space="preserve">do 21-03-2025 -etap zrealizowany </w:t>
            </w:r>
          </w:p>
          <w:p w14:paraId="1050E67F" w14:textId="44961124" w:rsidR="00705887" w:rsidRPr="001F74D5" w:rsidRDefault="00705887" w:rsidP="00705887">
            <w:pPr>
              <w:pStyle w:val="NormalnyWeb"/>
              <w:rPr>
                <w:b/>
                <w:sz w:val="18"/>
                <w:szCs w:val="18"/>
              </w:rPr>
            </w:pPr>
            <w:r w:rsidRPr="001F74D5">
              <w:rPr>
                <w:b/>
                <w:sz w:val="18"/>
                <w:szCs w:val="18"/>
              </w:rPr>
              <w:t>· Etap 2</w:t>
            </w:r>
            <w:r w:rsidR="008203FF" w:rsidRPr="001F74D5">
              <w:rPr>
                <w:b/>
                <w:sz w:val="18"/>
                <w:szCs w:val="18"/>
              </w:rPr>
              <w:t xml:space="preserve"> </w:t>
            </w:r>
            <w:r w:rsidR="00655AB1" w:rsidRPr="001F74D5">
              <w:rPr>
                <w:b/>
                <w:sz w:val="18"/>
                <w:szCs w:val="18"/>
              </w:rPr>
              <w:t>-25%</w:t>
            </w:r>
            <w:r w:rsidRPr="001F74D5">
              <w:rPr>
                <w:b/>
                <w:sz w:val="18"/>
                <w:szCs w:val="18"/>
              </w:rPr>
              <w:t xml:space="preserve"> - </w:t>
            </w:r>
            <w:r w:rsidR="001F74D5" w:rsidRPr="001F74D5">
              <w:rPr>
                <w:rFonts w:ascii="Calibri" w:hAnsi="Calibri" w:cs="Calibri"/>
                <w:b/>
                <w:bCs/>
                <w:color w:val="000000"/>
                <w:sz w:val="18"/>
                <w:szCs w:val="18"/>
              </w:rPr>
              <w:t xml:space="preserve">Stan surowy zamknięty  konstrukcja i pokrycie dachu </w:t>
            </w:r>
            <w:r w:rsidR="001F74D5" w:rsidRPr="001F74D5">
              <w:rPr>
                <w:b/>
                <w:bCs/>
                <w:sz w:val="18"/>
                <w:szCs w:val="18"/>
              </w:rPr>
              <w:t>s</w:t>
            </w:r>
            <w:r w:rsidR="001F74D5" w:rsidRPr="001F74D5">
              <w:rPr>
                <w:rFonts w:ascii="Calibri" w:hAnsi="Calibri" w:cs="Calibri"/>
                <w:b/>
                <w:bCs/>
                <w:color w:val="000000"/>
                <w:sz w:val="18"/>
                <w:szCs w:val="18"/>
              </w:rPr>
              <w:t xml:space="preserve">tolarka okienna </w:t>
            </w:r>
            <w:r w:rsidR="001F74D5" w:rsidRPr="001F74D5">
              <w:rPr>
                <w:b/>
                <w:bCs/>
                <w:color w:val="000000"/>
                <w:sz w:val="18"/>
                <w:szCs w:val="18"/>
              </w:rPr>
              <w:t>do 30-06,2025</w:t>
            </w:r>
            <w:r w:rsidRPr="001F74D5">
              <w:rPr>
                <w:b/>
                <w:sz w:val="18"/>
                <w:szCs w:val="18"/>
              </w:rPr>
              <w:t>– etap zrealizowany</w:t>
            </w:r>
          </w:p>
          <w:p w14:paraId="0AA75AD9" w14:textId="6D92DA09" w:rsidR="00705887" w:rsidRDefault="00705887" w:rsidP="00705887">
            <w:pPr>
              <w:pStyle w:val="NormalnyWeb"/>
              <w:rPr>
                <w:b/>
                <w:sz w:val="18"/>
                <w:szCs w:val="18"/>
              </w:rPr>
            </w:pPr>
            <w:r>
              <w:rPr>
                <w:b/>
                <w:sz w:val="18"/>
                <w:szCs w:val="18"/>
              </w:rPr>
              <w:t xml:space="preserve">· Etap 3 </w:t>
            </w:r>
            <w:r w:rsidR="00655AB1">
              <w:rPr>
                <w:b/>
                <w:sz w:val="18"/>
                <w:szCs w:val="18"/>
              </w:rPr>
              <w:t>-1</w:t>
            </w:r>
            <w:r w:rsidR="001F74D5">
              <w:rPr>
                <w:b/>
                <w:sz w:val="18"/>
                <w:szCs w:val="18"/>
              </w:rPr>
              <w:t>5</w:t>
            </w:r>
            <w:r w:rsidR="00655AB1">
              <w:rPr>
                <w:b/>
                <w:sz w:val="18"/>
                <w:szCs w:val="18"/>
              </w:rPr>
              <w:t>,</w:t>
            </w:r>
            <w:r w:rsidR="001F74D5">
              <w:rPr>
                <w:b/>
                <w:sz w:val="18"/>
                <w:szCs w:val="18"/>
              </w:rPr>
              <w:t>60</w:t>
            </w:r>
            <w:r w:rsidR="00655AB1">
              <w:rPr>
                <w:b/>
                <w:sz w:val="18"/>
                <w:szCs w:val="18"/>
              </w:rPr>
              <w:t>%</w:t>
            </w:r>
            <w:r>
              <w:rPr>
                <w:b/>
                <w:sz w:val="18"/>
                <w:szCs w:val="18"/>
              </w:rPr>
              <w:t>–</w:t>
            </w:r>
            <w:r w:rsidR="00C9483F">
              <w:rPr>
                <w:b/>
                <w:sz w:val="18"/>
                <w:szCs w:val="18"/>
              </w:rPr>
              <w:t xml:space="preserve"> </w:t>
            </w:r>
            <w:r w:rsidR="001F74D5" w:rsidRPr="001F74D5">
              <w:rPr>
                <w:b/>
                <w:sz w:val="18"/>
                <w:szCs w:val="18"/>
              </w:rPr>
              <w:t xml:space="preserve">Instalacje wewnętrzne- </w:t>
            </w:r>
            <w:proofErr w:type="spellStart"/>
            <w:r w:rsidR="001F74D5" w:rsidRPr="001F74D5">
              <w:rPr>
                <w:b/>
                <w:sz w:val="18"/>
                <w:szCs w:val="18"/>
              </w:rPr>
              <w:t>wod</w:t>
            </w:r>
            <w:proofErr w:type="spellEnd"/>
            <w:r w:rsidR="001F74D5" w:rsidRPr="001F74D5">
              <w:rPr>
                <w:b/>
                <w:sz w:val="18"/>
                <w:szCs w:val="18"/>
              </w:rPr>
              <w:t xml:space="preserve"> </w:t>
            </w:r>
            <w:proofErr w:type="spellStart"/>
            <w:r w:rsidR="001F74D5" w:rsidRPr="001F74D5">
              <w:rPr>
                <w:b/>
                <w:sz w:val="18"/>
                <w:szCs w:val="18"/>
              </w:rPr>
              <w:t>kan</w:t>
            </w:r>
            <w:proofErr w:type="spellEnd"/>
            <w:r w:rsidR="001F74D5" w:rsidRPr="001F74D5">
              <w:rPr>
                <w:b/>
                <w:sz w:val="18"/>
                <w:szCs w:val="18"/>
              </w:rPr>
              <w:t xml:space="preserve"> co, elektryczna </w:t>
            </w:r>
            <w:r w:rsidR="00C9483F">
              <w:rPr>
                <w:b/>
                <w:sz w:val="18"/>
                <w:szCs w:val="18"/>
              </w:rPr>
              <w:t>– do 31.10.2025</w:t>
            </w:r>
          </w:p>
          <w:p w14:paraId="7577C033" w14:textId="016D6A9A" w:rsidR="0096434C" w:rsidRDefault="00705887" w:rsidP="00705887">
            <w:pPr>
              <w:pStyle w:val="NormalnyWeb"/>
              <w:rPr>
                <w:b/>
                <w:sz w:val="18"/>
                <w:szCs w:val="18"/>
              </w:rPr>
            </w:pPr>
            <w:r>
              <w:rPr>
                <w:b/>
                <w:sz w:val="18"/>
                <w:szCs w:val="18"/>
              </w:rPr>
              <w:t>· Etap 4</w:t>
            </w:r>
            <w:r w:rsidR="00655AB1">
              <w:rPr>
                <w:b/>
                <w:sz w:val="18"/>
                <w:szCs w:val="18"/>
              </w:rPr>
              <w:t>-</w:t>
            </w:r>
            <w:r w:rsidR="001F74D5">
              <w:rPr>
                <w:b/>
                <w:sz w:val="18"/>
                <w:szCs w:val="18"/>
              </w:rPr>
              <w:t xml:space="preserve"> 20</w:t>
            </w:r>
            <w:r w:rsidR="00655AB1">
              <w:rPr>
                <w:b/>
                <w:sz w:val="18"/>
                <w:szCs w:val="18"/>
              </w:rPr>
              <w:t>%</w:t>
            </w:r>
            <w:r>
              <w:rPr>
                <w:b/>
                <w:sz w:val="18"/>
                <w:szCs w:val="18"/>
              </w:rPr>
              <w:t xml:space="preserve"> – </w:t>
            </w:r>
            <w:r w:rsidR="001F74D5" w:rsidRPr="001F74D5">
              <w:rPr>
                <w:b/>
                <w:sz w:val="18"/>
                <w:szCs w:val="18"/>
              </w:rPr>
              <w:t xml:space="preserve">Wykończenie wewnątrz i zewnątrz budynków-tynki wewnętrzne, wylewki, elewacja </w:t>
            </w:r>
            <w:r w:rsidR="001F74D5">
              <w:rPr>
                <w:b/>
                <w:sz w:val="18"/>
                <w:szCs w:val="18"/>
              </w:rPr>
              <w:t>,</w:t>
            </w:r>
            <w:r w:rsidR="001F74D5" w:rsidRPr="001F74D5">
              <w:rPr>
                <w:b/>
                <w:sz w:val="18"/>
                <w:szCs w:val="18"/>
              </w:rPr>
              <w:t>zabudowa karton gips</w:t>
            </w:r>
            <w:r w:rsidR="00C9483F">
              <w:rPr>
                <w:b/>
                <w:sz w:val="18"/>
                <w:szCs w:val="18"/>
              </w:rPr>
              <w:t>-do 28.11.2025</w:t>
            </w:r>
          </w:p>
          <w:p w14:paraId="7B83B96C" w14:textId="3230BD60" w:rsidR="0096434C" w:rsidRPr="00F82314" w:rsidRDefault="0096434C" w:rsidP="00705887">
            <w:pPr>
              <w:pStyle w:val="NormalnyWeb"/>
              <w:rPr>
                <w:b/>
                <w:bCs/>
                <w:sz w:val="18"/>
                <w:szCs w:val="18"/>
              </w:rPr>
            </w:pPr>
            <w:r>
              <w:rPr>
                <w:b/>
                <w:sz w:val="18"/>
                <w:szCs w:val="18"/>
              </w:rPr>
              <w:lastRenderedPageBreak/>
              <w:t xml:space="preserve">· Etap 5 </w:t>
            </w:r>
            <w:r w:rsidR="00655AB1">
              <w:rPr>
                <w:b/>
                <w:sz w:val="18"/>
                <w:szCs w:val="18"/>
              </w:rPr>
              <w:t>-1</w:t>
            </w:r>
            <w:r w:rsidR="001F74D5">
              <w:rPr>
                <w:b/>
                <w:sz w:val="18"/>
                <w:szCs w:val="18"/>
              </w:rPr>
              <w:t>4,40</w:t>
            </w:r>
            <w:r w:rsidR="00655AB1">
              <w:rPr>
                <w:b/>
                <w:sz w:val="18"/>
                <w:szCs w:val="18"/>
              </w:rPr>
              <w:t>%</w:t>
            </w:r>
            <w:r w:rsidR="00705887">
              <w:rPr>
                <w:b/>
                <w:sz w:val="18"/>
                <w:szCs w:val="18"/>
              </w:rPr>
              <w:t>–</w:t>
            </w:r>
            <w:r>
              <w:rPr>
                <w:b/>
                <w:sz w:val="18"/>
                <w:szCs w:val="18"/>
              </w:rPr>
              <w:t xml:space="preserve">  – </w:t>
            </w:r>
            <w:r w:rsidR="001F74D5" w:rsidRPr="001F74D5">
              <w:rPr>
                <w:b/>
                <w:sz w:val="18"/>
                <w:szCs w:val="18"/>
              </w:rPr>
              <w:t xml:space="preserve">przyłącza i zagospodarowanie terenu -przyłącza </w:t>
            </w:r>
            <w:proofErr w:type="spellStart"/>
            <w:r w:rsidR="001F74D5" w:rsidRPr="001F74D5">
              <w:rPr>
                <w:b/>
                <w:sz w:val="18"/>
                <w:szCs w:val="18"/>
              </w:rPr>
              <w:t>wod-kan</w:t>
            </w:r>
            <w:proofErr w:type="spellEnd"/>
            <w:r w:rsidR="001F74D5" w:rsidRPr="001F74D5">
              <w:rPr>
                <w:b/>
                <w:sz w:val="18"/>
                <w:szCs w:val="18"/>
              </w:rPr>
              <w:t xml:space="preserve"> -gazu, zbiorniki na deszczówkę  kostka brukowa</w:t>
            </w:r>
            <w:r w:rsidR="00F82314">
              <w:rPr>
                <w:b/>
                <w:sz w:val="18"/>
                <w:szCs w:val="18"/>
              </w:rPr>
              <w:t>,</w:t>
            </w:r>
            <w:r w:rsidR="00F82314">
              <w:t xml:space="preserve"> </w:t>
            </w:r>
            <w:r w:rsidR="00F82314" w:rsidRPr="00F82314">
              <w:rPr>
                <w:b/>
                <w:bCs/>
                <w:sz w:val="18"/>
                <w:szCs w:val="18"/>
              </w:rPr>
              <w:t>uzyskania pozwolenie na użytkowanie/zaświadczenie</w:t>
            </w:r>
            <w:r w:rsidR="00C9483F" w:rsidRPr="00F82314">
              <w:rPr>
                <w:b/>
                <w:bCs/>
                <w:sz w:val="18"/>
                <w:szCs w:val="18"/>
              </w:rPr>
              <w:t xml:space="preserve">– do 31.03.2026 </w:t>
            </w:r>
          </w:p>
          <w:p w14:paraId="44EC64FF" w14:textId="72B49C1B" w:rsidR="00C9483F" w:rsidRDefault="00C9483F" w:rsidP="00C9483F">
            <w:pPr>
              <w:pStyle w:val="NormalnyWeb"/>
            </w:pPr>
          </w:p>
          <w:p w14:paraId="4106A3BC" w14:textId="7F4C0956" w:rsidR="000F1D2B" w:rsidRDefault="000F1D2B" w:rsidP="00705887">
            <w:pPr>
              <w:ind w:left="2"/>
            </w:pPr>
          </w:p>
        </w:tc>
      </w:tr>
      <w:tr w:rsidR="000F1D2B" w14:paraId="03CC2265" w14:textId="77777777">
        <w:trPr>
          <w:trHeight w:val="72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1E98B9DA" w14:textId="77777777" w:rsidR="000F1D2B" w:rsidRDefault="000F1D2B" w:rsidP="000F1D2B">
            <w:r>
              <w:rPr>
                <w:rFonts w:ascii="Times New Roman" w:eastAsia="Times New Roman" w:hAnsi="Times New Roman" w:cs="Times New Roman"/>
                <w:sz w:val="20"/>
              </w:rPr>
              <w:lastRenderedPageBreak/>
              <w:t xml:space="preserve">Dopuszczenie waloryzacji ceny oraz określenie zasad waloryzacji </w:t>
            </w:r>
          </w:p>
        </w:tc>
        <w:tc>
          <w:tcPr>
            <w:tcW w:w="6674" w:type="dxa"/>
            <w:tcBorders>
              <w:top w:val="single" w:sz="4" w:space="0" w:color="000000"/>
              <w:left w:val="single" w:sz="4" w:space="0" w:color="000000"/>
              <w:bottom w:val="single" w:sz="4" w:space="0" w:color="000000"/>
              <w:right w:val="single" w:sz="4" w:space="0" w:color="000000"/>
            </w:tcBorders>
          </w:tcPr>
          <w:p w14:paraId="1CCD56F2" w14:textId="77777777" w:rsidR="00862E7F" w:rsidRPr="006A5C5F" w:rsidRDefault="000F1D2B" w:rsidP="00862E7F">
            <w:pPr>
              <w:jc w:val="both"/>
              <w:rPr>
                <w:b/>
                <w:sz w:val="18"/>
                <w:szCs w:val="18"/>
              </w:rPr>
            </w:pPr>
            <w:r>
              <w:rPr>
                <w:rFonts w:ascii="Times New Roman" w:eastAsia="Times New Roman" w:hAnsi="Times New Roman" w:cs="Times New Roman"/>
                <w:sz w:val="20"/>
              </w:rPr>
              <w:t xml:space="preserve"> </w:t>
            </w:r>
            <w:r w:rsidR="00862E7F" w:rsidRPr="006A5C5F">
              <w:rPr>
                <w:b/>
                <w:sz w:val="18"/>
                <w:szCs w:val="18"/>
              </w:rPr>
              <w:t>W przypadku, gdy ze względu na proces budowlany, powierzchnia Budynku ulegnie zwiększeniu lub zmniejszeniu w stosunku do powierzchni wskazanej w umowie deweloperskiej cena Budynku ulegnie odpowiednio zwiększeniu lub zmniejszeniu, przy przyjęciu ceny za jeden metr kwadratowy powierzchni Budynku obliczonej w oparciu o dane dotyczące powierzchni i Ceny Budynku określone w §4 ust. 1 umowy deweloperskiej, przy czym w wypadku, gdy różnica powierzchni przekracza +/- 2%, Nabywcy przysługuje prawo odstąpienia od Umowy deweloperskiej.</w:t>
            </w:r>
          </w:p>
          <w:p w14:paraId="0C8D31F2" w14:textId="77777777" w:rsidR="00862E7F" w:rsidRPr="006A5C5F" w:rsidRDefault="00862E7F" w:rsidP="00862E7F">
            <w:pPr>
              <w:jc w:val="both"/>
              <w:rPr>
                <w:b/>
                <w:sz w:val="18"/>
                <w:szCs w:val="18"/>
              </w:rPr>
            </w:pPr>
            <w:r w:rsidRPr="006A5C5F">
              <w:rPr>
                <w:b/>
                <w:sz w:val="18"/>
                <w:szCs w:val="18"/>
              </w:rPr>
              <w:t>W zakresie kwot netto Cena Budynku jest stała. W przypadku gdyby nastąpiła zmiana stawek podatku VAT Cena brutto Budynku zostanie stosownie skorygowana, chyba że Deweloper poinformuje Nabywcę, że pomimo podwyższenia stawek podatku VAT, Cena Budynku oraz wysokość kwot wpłacanych przez Nabywcę zgodnie z postanowieniami umowy deweloperskiej nie ulegają zmianie.</w:t>
            </w:r>
          </w:p>
          <w:p w14:paraId="1FC1D4F4" w14:textId="77777777" w:rsidR="00862E7F" w:rsidRPr="006A5C5F" w:rsidRDefault="00862E7F" w:rsidP="00862E7F">
            <w:pPr>
              <w:jc w:val="both"/>
              <w:rPr>
                <w:b/>
                <w:sz w:val="18"/>
                <w:szCs w:val="18"/>
              </w:rPr>
            </w:pPr>
            <w:r w:rsidRPr="006A5C5F">
              <w:rPr>
                <w:b/>
                <w:sz w:val="18"/>
                <w:szCs w:val="18"/>
              </w:rPr>
              <w:t>W przypadku zmiany Ceny Budynku spowodowanej zmianą stawki podatku VAT, Nabywcy przysługiwać będzie prawo odstąpienia od Umowy deweloperskiej. Prawo odstąpienia Umowy deweloperskiej z tej przyczyny, może być zrealizowane przez Nabywcę w terminie 21 dni od daty otrzymania od  Dewelopera  pisemnej informacji o zmianie stawki VAT i związanej z tym zmianie wysokości Ceny Budynku.</w:t>
            </w:r>
          </w:p>
          <w:p w14:paraId="641E91CC" w14:textId="6A13456B" w:rsidR="000F1D2B" w:rsidRDefault="000F1D2B" w:rsidP="000F1D2B">
            <w:pPr>
              <w:ind w:left="2"/>
            </w:pPr>
          </w:p>
        </w:tc>
      </w:tr>
      <w:tr w:rsidR="000F1D2B" w14:paraId="7B087293" w14:textId="77777777">
        <w:trPr>
          <w:trHeight w:val="1200"/>
        </w:trPr>
        <w:tc>
          <w:tcPr>
            <w:tcW w:w="9644"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95023A7" w14:textId="77777777" w:rsidR="000F1D2B" w:rsidRDefault="000F1D2B" w:rsidP="000F1D2B">
            <w:pPr>
              <w:spacing w:after="13"/>
            </w:pPr>
            <w:r>
              <w:rPr>
                <w:rFonts w:ascii="Times New Roman" w:eastAsia="Times New Roman" w:hAnsi="Times New Roman" w:cs="Times New Roman"/>
                <w:b/>
                <w:sz w:val="20"/>
              </w:rPr>
              <w:t xml:space="preserve">WARUNKI ODSTĄPIENIA OD UMOWY DEWELOPERSKIEJ LUB UMOWY, O KTÓREJ MOWA </w:t>
            </w:r>
          </w:p>
          <w:p w14:paraId="2274A8E4" w14:textId="77777777" w:rsidR="000F1D2B" w:rsidRDefault="000F1D2B" w:rsidP="000F1D2B">
            <w:pPr>
              <w:spacing w:after="14"/>
            </w:pPr>
            <w:r>
              <w:rPr>
                <w:rFonts w:ascii="Times New Roman" w:eastAsia="Times New Roman" w:hAnsi="Times New Roman" w:cs="Times New Roman"/>
                <w:b/>
                <w:sz w:val="20"/>
              </w:rPr>
              <w:t xml:space="preserve">W ART. 2 UST. 1 PKT 2, 3 LUB 5 USTAWY Z DNIA 20 MAJA 2021 r. O OCHRONIE PRAW NABYWCY </w:t>
            </w:r>
          </w:p>
          <w:p w14:paraId="708009E4" w14:textId="77777777" w:rsidR="000F1D2B" w:rsidRDefault="000F1D2B" w:rsidP="000F1D2B">
            <w:r>
              <w:rPr>
                <w:rFonts w:ascii="Times New Roman" w:eastAsia="Times New Roman" w:hAnsi="Times New Roman" w:cs="Times New Roman"/>
                <w:b/>
                <w:sz w:val="20"/>
              </w:rPr>
              <w:t xml:space="preserve">LOKALU MIESZKALNEGO LUB DOMU JEDNORODZINNEGO ORAZ DEWELOPERSKIM FUNDUSZU GWARANCYJNYM </w:t>
            </w:r>
          </w:p>
        </w:tc>
      </w:tr>
      <w:tr w:rsidR="000F1D2B" w14:paraId="0F3A51DF" w14:textId="77777777">
        <w:trPr>
          <w:trHeight w:val="2825"/>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E207042" w14:textId="77777777" w:rsidR="000F1D2B" w:rsidRDefault="000F1D2B" w:rsidP="000F1D2B">
            <w:pPr>
              <w:spacing w:line="278" w:lineRule="auto"/>
              <w:ind w:right="111"/>
            </w:pPr>
            <w:r>
              <w:rPr>
                <w:rFonts w:ascii="Times New Roman" w:eastAsia="Times New Roman" w:hAnsi="Times New Roman" w:cs="Times New Roman"/>
                <w:sz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0D7F5B63" w14:textId="77777777" w:rsidR="000F1D2B" w:rsidRDefault="000F1D2B" w:rsidP="000F1D2B">
            <w:r>
              <w:rPr>
                <w:rFonts w:ascii="Times New Roman" w:eastAsia="Times New Roman" w:hAnsi="Times New Roman" w:cs="Times New Roman"/>
                <w:sz w:val="20"/>
              </w:rPr>
              <w:t xml:space="preserve">Gwarancyjnym </w:t>
            </w:r>
          </w:p>
        </w:tc>
        <w:tc>
          <w:tcPr>
            <w:tcW w:w="6674" w:type="dxa"/>
            <w:tcBorders>
              <w:top w:val="single" w:sz="4" w:space="0" w:color="000000"/>
              <w:left w:val="single" w:sz="4" w:space="0" w:color="000000"/>
              <w:bottom w:val="single" w:sz="4" w:space="0" w:color="000000"/>
              <w:right w:val="single" w:sz="4" w:space="0" w:color="000000"/>
            </w:tcBorders>
          </w:tcPr>
          <w:p w14:paraId="47E72B86" w14:textId="77777777" w:rsidR="00095ECD" w:rsidRPr="009D36A2" w:rsidRDefault="000F1D2B" w:rsidP="00095ECD">
            <w:pPr>
              <w:shd w:val="clear" w:color="auto" w:fill="FFFFFF"/>
              <w:spacing w:before="100" w:beforeAutospacing="1" w:after="100" w:afterAutospacing="1"/>
              <w:rPr>
                <w:b/>
                <w:bCs/>
                <w:sz w:val="18"/>
                <w:szCs w:val="18"/>
              </w:rPr>
            </w:pPr>
            <w:r>
              <w:rPr>
                <w:rFonts w:ascii="Times New Roman" w:eastAsia="Times New Roman" w:hAnsi="Times New Roman" w:cs="Times New Roman"/>
                <w:sz w:val="20"/>
              </w:rPr>
              <w:t xml:space="preserve"> </w:t>
            </w:r>
            <w:r w:rsidR="00095ECD" w:rsidRPr="009D36A2">
              <w:rPr>
                <w:b/>
                <w:bCs/>
                <w:sz w:val="18"/>
                <w:szCs w:val="18"/>
              </w:rPr>
              <w:t xml:space="preserve">. </w:t>
            </w:r>
            <w:r w:rsidR="00095ECD" w:rsidRPr="009D36A2">
              <w:rPr>
                <w:b/>
                <w:bCs/>
                <w:sz w:val="18"/>
                <w:szCs w:val="18"/>
                <w:u w:val="single"/>
              </w:rPr>
              <w:t>Nabywca ma prawo odstąpić od umowy deweloperskiej albo umowy</w:t>
            </w:r>
            <w:r w:rsidR="00095ECD" w:rsidRPr="009D36A2">
              <w:rPr>
                <w:b/>
                <w:bCs/>
                <w:sz w:val="18"/>
                <w:szCs w:val="18"/>
              </w:rPr>
              <w:t>:</w:t>
            </w:r>
          </w:p>
          <w:p w14:paraId="0A7D9A43"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1) jeżeli umowa deweloperska albo umowa nie zawiera odpowiednio elementów, o których mowa w art. 35, albo elementów, o których mowa w art. 36;</w:t>
            </w:r>
          </w:p>
          <w:p w14:paraId="0F93A302"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2) jeżeli informacje zawarte w umowie deweloperskiej albo umowie, nie są zgodne z informacjami zawartymi w prospekcie informacyjnym lub jego załącznikach, z wyjątkiem zmian, o których mowa w art. 35 ust. 2;</w:t>
            </w:r>
          </w:p>
          <w:p w14:paraId="2DE12CB7"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3) jeżeli deweloper nie doręczył zgodnie z art. 21 lub art. 22 prospektu informacyjnego wraz z załącznikami lub informacji o zmianie danych lub informacji zawartych w prospekcie informacyjnym lub jego załącznikach;</w:t>
            </w:r>
          </w:p>
          <w:p w14:paraId="327D29AB"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4) jeżeli dane lub informacje zawarte w prospekcie informacyjnym lub jego załącznikach, na podstawie których zawarto umowę deweloperską albo umowę, są niezgodne ze stanem faktycznym lub prawnym w dniu zawarcia umowy;</w:t>
            </w:r>
          </w:p>
          <w:p w14:paraId="06B46003"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5) jeżeli prospekt informacyjny, na podstawie którego zawarto umowę deweloperską albo umowę nie zawiera danych lub informacji określonych we wzorze prospektu informacyjnego;</w:t>
            </w:r>
          </w:p>
          <w:p w14:paraId="50D4133A"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 xml:space="preserve">6) w przypadku </w:t>
            </w:r>
            <w:proofErr w:type="spellStart"/>
            <w:r w:rsidRPr="009D36A2">
              <w:rPr>
                <w:b/>
                <w:bCs/>
                <w:sz w:val="18"/>
                <w:szCs w:val="18"/>
              </w:rPr>
              <w:t>nieprzeniesienia</w:t>
            </w:r>
            <w:proofErr w:type="spellEnd"/>
            <w:r w:rsidRPr="009D36A2">
              <w:rPr>
                <w:b/>
                <w:bCs/>
                <w:sz w:val="18"/>
                <w:szCs w:val="18"/>
              </w:rPr>
              <w:t xml:space="preserve"> na nabywcę praw wynikających z umowy deweloperskiej albo umowy</w:t>
            </w:r>
            <w:r>
              <w:rPr>
                <w:b/>
                <w:bCs/>
                <w:sz w:val="18"/>
                <w:szCs w:val="18"/>
              </w:rPr>
              <w:t xml:space="preserve"> </w:t>
            </w:r>
            <w:r w:rsidRPr="009D36A2">
              <w:rPr>
                <w:b/>
                <w:bCs/>
                <w:sz w:val="18"/>
                <w:szCs w:val="18"/>
              </w:rPr>
              <w:t>w terminie wynikającym z tych umów;</w:t>
            </w:r>
          </w:p>
          <w:p w14:paraId="72F2847D"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lastRenderedPageBreak/>
              <w:t>7) w przypadku gdy deweloper nie zawrze umowy mieszkaniowego rachunku powierniczego z innym bankiem w trybie i terminie, o których mowa w art. 10 ust. 1</w:t>
            </w:r>
          </w:p>
          <w:p w14:paraId="5CD1A93E"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8) w przypadku gdy deweloper nie posiada zgody wierzyciela hipotecznego lub zobowiązania do jej udzielenia;</w:t>
            </w:r>
          </w:p>
          <w:p w14:paraId="725696D9"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9) w przypadku niewykonania przez dewelopera obowiązku, o którym mowa w art. 12 ust. 2, w terminie określonym w tym przepisie;</w:t>
            </w:r>
          </w:p>
          <w:p w14:paraId="7EE5EF2D"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10) w przypadku nieusunięcia przez dewelopera wady istotnej lokalu mieszkalnego albo domu jednorodzinnego na zasadach określonych w art. 41 ust. 11;</w:t>
            </w:r>
          </w:p>
          <w:p w14:paraId="5615845D"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11) w przypadku stwierdzenia przez rzeczoznawcę istnienia wady istotnej, o którym mowa w art. 41 ust. 15;</w:t>
            </w:r>
          </w:p>
          <w:p w14:paraId="1283B6BC" w14:textId="77777777" w:rsidR="00095ECD" w:rsidRPr="009D36A2" w:rsidRDefault="00095ECD" w:rsidP="00095ECD">
            <w:pPr>
              <w:shd w:val="clear" w:color="auto" w:fill="FFFFFF"/>
              <w:spacing w:before="100" w:beforeAutospacing="1" w:after="100" w:afterAutospacing="1"/>
              <w:ind w:right="330"/>
              <w:rPr>
                <w:b/>
                <w:bCs/>
                <w:sz w:val="18"/>
                <w:szCs w:val="18"/>
              </w:rPr>
            </w:pPr>
            <w:r w:rsidRPr="009D36A2">
              <w:rPr>
                <w:b/>
                <w:bCs/>
                <w:sz w:val="18"/>
                <w:szCs w:val="18"/>
              </w:rPr>
              <w:t>12) jeżeli syndyk zażądał wykonania umowy na podstawie art. 98 ustawy z dnia 28 lutego 2003 r. - Prawo upadłościowe.</w:t>
            </w:r>
          </w:p>
          <w:p w14:paraId="620600B1" w14:textId="77777777" w:rsidR="00095ECD" w:rsidRPr="009D36A2" w:rsidRDefault="00095ECD" w:rsidP="00095ECD">
            <w:pPr>
              <w:shd w:val="clear" w:color="auto" w:fill="FFFFFF"/>
              <w:spacing w:before="100" w:beforeAutospacing="1" w:after="100" w:afterAutospacing="1"/>
              <w:rPr>
                <w:b/>
                <w:bCs/>
                <w:sz w:val="18"/>
                <w:szCs w:val="18"/>
              </w:rPr>
            </w:pPr>
            <w:r w:rsidRPr="009D36A2">
              <w:rPr>
                <w:b/>
                <w:bCs/>
                <w:sz w:val="18"/>
                <w:szCs w:val="18"/>
              </w:rPr>
              <w:t>W przypadkach, o których mowa w pkt 1-5, nabywca ma prawo odstąpienia od umowy deweloperskiej albo umowy</w:t>
            </w:r>
            <w:r>
              <w:rPr>
                <w:b/>
                <w:bCs/>
                <w:sz w:val="18"/>
                <w:szCs w:val="18"/>
              </w:rPr>
              <w:t xml:space="preserve"> </w:t>
            </w:r>
            <w:r w:rsidRPr="009D36A2">
              <w:rPr>
                <w:b/>
                <w:bCs/>
                <w:sz w:val="18"/>
                <w:szCs w:val="18"/>
              </w:rPr>
              <w:t>w terminie 30 dni od dnia jej zawarcia.</w:t>
            </w:r>
          </w:p>
          <w:p w14:paraId="1B55818F" w14:textId="77777777" w:rsidR="00095ECD" w:rsidRPr="009D36A2" w:rsidRDefault="00095ECD" w:rsidP="00095ECD">
            <w:pPr>
              <w:shd w:val="clear" w:color="auto" w:fill="FFFFFF"/>
              <w:spacing w:before="100" w:beforeAutospacing="1" w:after="100" w:afterAutospacing="1"/>
              <w:rPr>
                <w:b/>
                <w:bCs/>
                <w:sz w:val="18"/>
                <w:szCs w:val="18"/>
              </w:rPr>
            </w:pPr>
            <w:r w:rsidRPr="009D36A2">
              <w:rPr>
                <w:b/>
                <w:bCs/>
                <w:sz w:val="18"/>
                <w:szCs w:val="18"/>
              </w:rPr>
              <w:t>W przypadku, o którym mowa w pkt 6, przed skorzystaniem z prawa do odstąpienia od umowy nabywca wyznacza deweloperowi 120-dniowy termin na przeniesienie praw wynikających z umowy deweloperskiej albo umowy, a w razie bezskutecznego upływu wyznaczonego terminu jest uprawniony do odstąpienia od tej umowy. Nabywca zachowuje roszczenie z tytułu kary umownej za okres opóźnienia.</w:t>
            </w:r>
          </w:p>
          <w:p w14:paraId="3A581D12" w14:textId="77777777" w:rsidR="00095ECD" w:rsidRPr="009D36A2" w:rsidRDefault="00095ECD" w:rsidP="00095ECD">
            <w:pPr>
              <w:shd w:val="clear" w:color="auto" w:fill="FFFFFF"/>
              <w:spacing w:before="100" w:beforeAutospacing="1" w:after="100" w:afterAutospacing="1"/>
              <w:rPr>
                <w:b/>
                <w:bCs/>
                <w:sz w:val="18"/>
                <w:szCs w:val="18"/>
              </w:rPr>
            </w:pPr>
            <w:r w:rsidRPr="009D36A2">
              <w:rPr>
                <w:b/>
                <w:bCs/>
                <w:sz w:val="18"/>
                <w:szCs w:val="18"/>
              </w:rPr>
              <w:t>W przypadku, o którym mowa w  pkt 7, nabywca ma prawo odstąpienia od umowy deweloperskiej albo umowy, po dokonaniu przez bank zwrotu środków zgodnie z art. 10 ust. 3.</w:t>
            </w:r>
          </w:p>
          <w:p w14:paraId="61601860" w14:textId="77777777" w:rsidR="00095ECD" w:rsidRDefault="00095ECD" w:rsidP="00095ECD">
            <w:pPr>
              <w:shd w:val="clear" w:color="auto" w:fill="FFFFFF"/>
              <w:spacing w:before="100" w:beforeAutospacing="1" w:after="100" w:afterAutospacing="1"/>
              <w:rPr>
                <w:b/>
                <w:bCs/>
                <w:sz w:val="18"/>
                <w:szCs w:val="18"/>
              </w:rPr>
            </w:pPr>
            <w:r w:rsidRPr="009D36A2">
              <w:rPr>
                <w:b/>
                <w:bCs/>
                <w:sz w:val="18"/>
                <w:szCs w:val="18"/>
              </w:rPr>
              <w:t>W przypadku, o którym mowa w</w:t>
            </w:r>
            <w:r>
              <w:rPr>
                <w:b/>
                <w:bCs/>
                <w:sz w:val="18"/>
                <w:szCs w:val="18"/>
              </w:rPr>
              <w:t xml:space="preserve"> </w:t>
            </w:r>
            <w:r w:rsidRPr="009D36A2">
              <w:rPr>
                <w:b/>
                <w:bCs/>
                <w:sz w:val="18"/>
                <w:szCs w:val="18"/>
              </w:rPr>
              <w:t>pkt 8, nabywca ma prawo odstąpienia od umowy deweloperskiej albo umowy</w:t>
            </w:r>
            <w:r>
              <w:rPr>
                <w:b/>
                <w:bCs/>
                <w:sz w:val="18"/>
                <w:szCs w:val="18"/>
              </w:rPr>
              <w:t xml:space="preserve"> </w:t>
            </w:r>
            <w:r w:rsidRPr="009D36A2">
              <w:rPr>
                <w:b/>
                <w:bCs/>
                <w:sz w:val="18"/>
                <w:szCs w:val="18"/>
              </w:rPr>
              <w:t>w terminie 60 dni od dnia jej zawarcia.</w:t>
            </w:r>
          </w:p>
          <w:p w14:paraId="69E19C69" w14:textId="3E93F6BD" w:rsidR="000F1D2B" w:rsidRDefault="000F1D2B" w:rsidP="000F1D2B">
            <w:pPr>
              <w:ind w:left="2"/>
            </w:pPr>
          </w:p>
        </w:tc>
      </w:tr>
      <w:tr w:rsidR="000F1D2B" w14:paraId="469D188E" w14:textId="77777777">
        <w:trPr>
          <w:trHeight w:val="439"/>
        </w:trPr>
        <w:tc>
          <w:tcPr>
            <w:tcW w:w="9644" w:type="dxa"/>
            <w:gridSpan w:val="2"/>
            <w:tcBorders>
              <w:top w:val="single" w:sz="4" w:space="0" w:color="000000"/>
              <w:left w:val="single" w:sz="4" w:space="0" w:color="000000"/>
              <w:bottom w:val="nil"/>
              <w:right w:val="single" w:sz="4" w:space="0" w:color="000000"/>
            </w:tcBorders>
            <w:shd w:val="clear" w:color="auto" w:fill="D9D9D9"/>
          </w:tcPr>
          <w:p w14:paraId="4B6396CD" w14:textId="77777777" w:rsidR="000F1D2B" w:rsidRDefault="000F1D2B" w:rsidP="000F1D2B">
            <w:r>
              <w:rPr>
                <w:rFonts w:ascii="Times New Roman" w:eastAsia="Times New Roman" w:hAnsi="Times New Roman" w:cs="Times New Roman"/>
                <w:b/>
                <w:sz w:val="20"/>
              </w:rPr>
              <w:lastRenderedPageBreak/>
              <w:t>INNE INFORMACJE</w:t>
            </w:r>
            <w:r>
              <w:rPr>
                <w:rFonts w:ascii="Times New Roman" w:eastAsia="Times New Roman" w:hAnsi="Times New Roman" w:cs="Times New Roman"/>
                <w:sz w:val="20"/>
                <w:vertAlign w:val="superscript"/>
              </w:rPr>
              <w:footnoteReference w:id="3"/>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r>
      <w:tr w:rsidR="000F1D2B" w14:paraId="170F8EC7" w14:textId="77777777">
        <w:trPr>
          <w:trHeight w:val="5439"/>
        </w:trPr>
        <w:tc>
          <w:tcPr>
            <w:tcW w:w="9644" w:type="dxa"/>
            <w:gridSpan w:val="2"/>
            <w:tcBorders>
              <w:top w:val="nil"/>
              <w:left w:val="single" w:sz="4" w:space="0" w:color="000000"/>
              <w:bottom w:val="nil"/>
              <w:right w:val="single" w:sz="4" w:space="0" w:color="000000"/>
            </w:tcBorders>
            <w:shd w:val="clear" w:color="auto" w:fill="F2F2F2"/>
          </w:tcPr>
          <w:p w14:paraId="13C3D083" w14:textId="77777777" w:rsidR="000F1D2B" w:rsidRDefault="000F1D2B" w:rsidP="000F1D2B">
            <w:pPr>
              <w:spacing w:after="73"/>
            </w:pPr>
            <w:r>
              <w:rPr>
                <w:rFonts w:ascii="Times New Roman" w:eastAsia="Times New Roman" w:hAnsi="Times New Roman" w:cs="Times New Roman"/>
                <w:sz w:val="20"/>
              </w:rPr>
              <w:lastRenderedPageBreak/>
              <w:t xml:space="preserve">I. Informacja: </w:t>
            </w:r>
          </w:p>
          <w:p w14:paraId="5A22EBA8" w14:textId="77777777" w:rsidR="000F1D2B" w:rsidRDefault="000F1D2B" w:rsidP="000F1D2B">
            <w:pPr>
              <w:numPr>
                <w:ilvl w:val="0"/>
                <w:numId w:val="9"/>
              </w:numPr>
              <w:spacing w:after="145" w:line="273" w:lineRule="auto"/>
              <w:ind w:right="49" w:hanging="312"/>
              <w:jc w:val="both"/>
            </w:pPr>
            <w:r>
              <w:rPr>
                <w:rFonts w:ascii="Times New Roman" w:eastAsia="Times New Roman" w:hAnsi="Times New Roman" w:cs="Times New Roman"/>
                <w:sz w:val="20"/>
              </w:rPr>
              <w:t xml:space="preserve">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08B78378" w14:textId="77777777" w:rsidR="000F1D2B" w:rsidRDefault="000F1D2B" w:rsidP="000F1D2B">
            <w:pPr>
              <w:numPr>
                <w:ilvl w:val="0"/>
                <w:numId w:val="9"/>
              </w:numPr>
              <w:spacing w:after="298" w:line="280" w:lineRule="auto"/>
              <w:ind w:right="49" w:hanging="312"/>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ułamkowej części własności lokalu użytkowego po wpłacie pełnej ceny przez nabywcę lub zobowiązaniu do udzielenia takiej zgody, jeżeli takie obciążenie istnieje.</w:t>
            </w:r>
            <w:r>
              <w:rPr>
                <w:rFonts w:ascii="Times New Roman" w:eastAsia="Times New Roman" w:hAnsi="Times New Roman" w:cs="Times New Roman"/>
                <w:b/>
                <w:sz w:val="20"/>
              </w:rPr>
              <w:t xml:space="preserve"> </w:t>
            </w:r>
          </w:p>
          <w:p w14:paraId="033B5A9B" w14:textId="77777777" w:rsidR="000F1D2B" w:rsidRDefault="000F1D2B" w:rsidP="000F1D2B">
            <w:r>
              <w:rPr>
                <w:rFonts w:ascii="Times New Roman" w:eastAsia="Times New Roman" w:hAnsi="Times New Roman" w:cs="Times New Roman"/>
                <w:sz w:val="20"/>
              </w:rPr>
              <w:t xml:space="preserve"> </w:t>
            </w:r>
          </w:p>
        </w:tc>
      </w:tr>
    </w:tbl>
    <w:p w14:paraId="4AE5310D" w14:textId="77777777" w:rsidR="00B569C0" w:rsidRDefault="00861F37">
      <w:pPr>
        <w:numPr>
          <w:ilvl w:val="0"/>
          <w:numId w:val="3"/>
        </w:numPr>
        <w:spacing w:after="170" w:line="248" w:lineRule="auto"/>
        <w:ind w:right="212" w:hanging="284"/>
        <w:jc w:val="both"/>
      </w:pPr>
      <w:r>
        <w:rPr>
          <w:noProof/>
        </w:rPr>
        <w:lastRenderedPageBreak/>
        <mc:AlternateContent>
          <mc:Choice Requires="wpg">
            <w:drawing>
              <wp:anchor distT="0" distB="0" distL="114300" distR="114300" simplePos="0" relativeHeight="251658240" behindDoc="0" locked="0" layoutInCell="1" allowOverlap="1" wp14:anchorId="12AD3BD4" wp14:editId="1ADCEA91">
                <wp:simplePos x="0" y="0"/>
                <wp:positionH relativeFrom="column">
                  <wp:posOffset>0</wp:posOffset>
                </wp:positionH>
                <wp:positionV relativeFrom="paragraph">
                  <wp:posOffset>-46640</wp:posOffset>
                </wp:positionV>
                <wp:extent cx="6096" cy="8816086"/>
                <wp:effectExtent l="0" t="0" r="0" b="0"/>
                <wp:wrapSquare wrapText="bothSides"/>
                <wp:docPr id="24878" name="Group 24878"/>
                <wp:cNvGraphicFramePr/>
                <a:graphic xmlns:a="http://schemas.openxmlformats.org/drawingml/2006/main">
                  <a:graphicData uri="http://schemas.microsoft.com/office/word/2010/wordprocessingGroup">
                    <wpg:wgp>
                      <wpg:cNvGrpSpPr/>
                      <wpg:grpSpPr>
                        <a:xfrm>
                          <a:off x="0" y="0"/>
                          <a:ext cx="6096" cy="8816086"/>
                          <a:chOff x="0" y="0"/>
                          <a:chExt cx="6096" cy="8816086"/>
                        </a:xfrm>
                      </wpg:grpSpPr>
                      <wps:wsp>
                        <wps:cNvPr id="27514" name="Shape 27514"/>
                        <wps:cNvSpPr/>
                        <wps:spPr>
                          <a:xfrm>
                            <a:off x="0" y="0"/>
                            <a:ext cx="9144" cy="8816086"/>
                          </a:xfrm>
                          <a:custGeom>
                            <a:avLst/>
                            <a:gdLst/>
                            <a:ahLst/>
                            <a:cxnLst/>
                            <a:rect l="0" t="0" r="0" b="0"/>
                            <a:pathLst>
                              <a:path w="9144" h="8816086">
                                <a:moveTo>
                                  <a:pt x="0" y="0"/>
                                </a:moveTo>
                                <a:lnTo>
                                  <a:pt x="9144" y="0"/>
                                </a:lnTo>
                                <a:lnTo>
                                  <a:pt x="9144" y="8816086"/>
                                </a:lnTo>
                                <a:lnTo>
                                  <a:pt x="0" y="8816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78" style="width:0.48pt;height:694.18pt;position:absolute;mso-position-horizontal-relative:text;mso-position-horizontal:absolute;margin-left:0pt;mso-position-vertical-relative:text;margin-top:-3.67255pt;" coordsize="60,88160">
                <v:shape id="Shape 27515" style="position:absolute;width:91;height:88160;left:0;top:0;" coordsize="9144,8816086" path="m0,0l9144,0l9144,8816086l0,8816086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281F7925" wp14:editId="5A774A52">
                <wp:simplePos x="0" y="0"/>
                <wp:positionH relativeFrom="column">
                  <wp:posOffset>6125719</wp:posOffset>
                </wp:positionH>
                <wp:positionV relativeFrom="paragraph">
                  <wp:posOffset>-46640</wp:posOffset>
                </wp:positionV>
                <wp:extent cx="6097" cy="8816086"/>
                <wp:effectExtent l="0" t="0" r="0" b="0"/>
                <wp:wrapSquare wrapText="bothSides"/>
                <wp:docPr id="24879" name="Group 24879"/>
                <wp:cNvGraphicFramePr/>
                <a:graphic xmlns:a="http://schemas.openxmlformats.org/drawingml/2006/main">
                  <a:graphicData uri="http://schemas.microsoft.com/office/word/2010/wordprocessingGroup">
                    <wpg:wgp>
                      <wpg:cNvGrpSpPr/>
                      <wpg:grpSpPr>
                        <a:xfrm>
                          <a:off x="0" y="0"/>
                          <a:ext cx="6097" cy="8816086"/>
                          <a:chOff x="0" y="0"/>
                          <a:chExt cx="6097" cy="8816086"/>
                        </a:xfrm>
                      </wpg:grpSpPr>
                      <wps:wsp>
                        <wps:cNvPr id="27516" name="Shape 27516"/>
                        <wps:cNvSpPr/>
                        <wps:spPr>
                          <a:xfrm>
                            <a:off x="0" y="0"/>
                            <a:ext cx="9144" cy="8816086"/>
                          </a:xfrm>
                          <a:custGeom>
                            <a:avLst/>
                            <a:gdLst/>
                            <a:ahLst/>
                            <a:cxnLst/>
                            <a:rect l="0" t="0" r="0" b="0"/>
                            <a:pathLst>
                              <a:path w="9144" h="8816086">
                                <a:moveTo>
                                  <a:pt x="0" y="0"/>
                                </a:moveTo>
                                <a:lnTo>
                                  <a:pt x="9144" y="0"/>
                                </a:lnTo>
                                <a:lnTo>
                                  <a:pt x="9144" y="8816086"/>
                                </a:lnTo>
                                <a:lnTo>
                                  <a:pt x="0" y="8816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79" style="width:0.480042pt;height:694.18pt;position:absolute;mso-position-horizontal-relative:text;mso-position-horizontal:absolute;margin-left:482.34pt;mso-position-vertical-relative:text;margin-top:-3.67255pt;" coordsize="60,88160">
                <v:shape id="Shape 27517" style="position:absolute;width:91;height:88160;left:0;top:0;" coordsize="9144,8816086" path="m0,0l9144,0l9144,8816086l0,881608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Informacja o możliwości zapoznania się w lokalu przedsiębiorstwa przez osobę zainteresowaną zawarciem umowy odpowiednio do zakresu umowy z: </w:t>
      </w:r>
    </w:p>
    <w:p w14:paraId="55979883" w14:textId="77777777" w:rsidR="00B569C0" w:rsidRDefault="00861F37">
      <w:pPr>
        <w:numPr>
          <w:ilvl w:val="1"/>
          <w:numId w:val="3"/>
        </w:numPr>
        <w:spacing w:after="27" w:line="248" w:lineRule="auto"/>
        <w:ind w:right="212" w:hanging="420"/>
        <w:jc w:val="both"/>
      </w:pPr>
      <w:r>
        <w:rPr>
          <w:rFonts w:ascii="Times New Roman" w:eastAsia="Times New Roman" w:hAnsi="Times New Roman" w:cs="Times New Roman"/>
          <w:sz w:val="20"/>
        </w:rPr>
        <w:t xml:space="preserve">aktualnym stanem księgi wieczystej prowadzonej dla nieruchomości; </w:t>
      </w:r>
    </w:p>
    <w:p w14:paraId="33C2BCCC" w14:textId="77777777" w:rsidR="00B569C0" w:rsidRDefault="00861F37">
      <w:pPr>
        <w:numPr>
          <w:ilvl w:val="1"/>
          <w:numId w:val="3"/>
        </w:numPr>
        <w:spacing w:after="27" w:line="248" w:lineRule="auto"/>
        <w:ind w:right="212" w:hanging="420"/>
        <w:jc w:val="both"/>
      </w:pPr>
      <w:r>
        <w:rPr>
          <w:rFonts w:ascii="Times New Roman" w:eastAsia="Times New Roman" w:hAnsi="Times New Roman" w:cs="Times New Roman"/>
          <w:sz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50D1A477" w14:textId="77777777" w:rsidR="00B569C0" w:rsidRDefault="00861F37">
      <w:pPr>
        <w:numPr>
          <w:ilvl w:val="1"/>
          <w:numId w:val="3"/>
        </w:numPr>
        <w:spacing w:after="27" w:line="248" w:lineRule="auto"/>
        <w:ind w:right="212" w:hanging="420"/>
        <w:jc w:val="both"/>
      </w:pPr>
      <w:r>
        <w:rPr>
          <w:rFonts w:ascii="Times New Roman" w:eastAsia="Times New Roman" w:hAnsi="Times New Roman" w:cs="Times New Roman"/>
          <w:sz w:val="20"/>
        </w:rPr>
        <w:t xml:space="preserve">pozwoleniem na budowę albo zgłoszeniem budowy, o którym mowa w art. 29 ust. 1 pkt 1 ustawy z dnia 7 lipca </w:t>
      </w:r>
    </w:p>
    <w:p w14:paraId="159F5894" w14:textId="77777777" w:rsidR="00B569C0" w:rsidRDefault="00861F37">
      <w:pPr>
        <w:spacing w:after="27" w:line="248" w:lineRule="auto"/>
        <w:ind w:right="212" w:firstLine="420"/>
        <w:jc w:val="both"/>
      </w:pPr>
      <w:r>
        <w:rPr>
          <w:rFonts w:ascii="Times New Roman" w:eastAsia="Times New Roman" w:hAnsi="Times New Roman" w:cs="Times New Roman"/>
          <w:sz w:val="20"/>
        </w:rPr>
        <w:t xml:space="preserve">1994 r. – Prawo budowlane, do którego organ administracji architektoniczno-budowlanej nie wniósł sprzeciwu; 4) sprawozdaniem finansowym dewelopera za ostatnie dwa lata, a w przypadku: </w:t>
      </w:r>
    </w:p>
    <w:p w14:paraId="1D15D619" w14:textId="77777777" w:rsidR="00B569C0" w:rsidRDefault="00861F37">
      <w:pPr>
        <w:numPr>
          <w:ilvl w:val="2"/>
          <w:numId w:val="4"/>
        </w:numPr>
        <w:spacing w:after="27" w:line="248" w:lineRule="auto"/>
        <w:ind w:right="212" w:hanging="425"/>
        <w:jc w:val="both"/>
      </w:pPr>
      <w:r>
        <w:rPr>
          <w:rFonts w:ascii="Times New Roman" w:eastAsia="Times New Roman" w:hAnsi="Times New Roman" w:cs="Times New Roman"/>
          <w:sz w:val="20"/>
        </w:rPr>
        <w:t xml:space="preserve">prowadzenia działalności przez okres krótszy niż dwa lata – sprawozdaniem finansowym za okres ostatniego roku, </w:t>
      </w:r>
    </w:p>
    <w:p w14:paraId="69C336A0" w14:textId="77777777" w:rsidR="00B569C0" w:rsidRDefault="00861F37">
      <w:pPr>
        <w:numPr>
          <w:ilvl w:val="2"/>
          <w:numId w:val="4"/>
        </w:numPr>
        <w:spacing w:after="27" w:line="248" w:lineRule="auto"/>
        <w:ind w:right="212" w:hanging="425"/>
        <w:jc w:val="both"/>
      </w:pPr>
      <w:r>
        <w:rPr>
          <w:rFonts w:ascii="Times New Roman" w:eastAsia="Times New Roman" w:hAnsi="Times New Roman" w:cs="Times New Roman"/>
          <w:sz w:val="20"/>
        </w:rPr>
        <w:t xml:space="preserve">realizacji inwestycji przez spółkę celową – sprawozdaniem spółki dominującej oraz spółki celowej; </w:t>
      </w:r>
    </w:p>
    <w:p w14:paraId="01138526" w14:textId="77777777" w:rsidR="00B569C0" w:rsidRDefault="00861F37">
      <w:pPr>
        <w:numPr>
          <w:ilvl w:val="1"/>
          <w:numId w:val="5"/>
        </w:numPr>
        <w:spacing w:after="27" w:line="248" w:lineRule="auto"/>
        <w:ind w:right="212" w:hanging="420"/>
        <w:jc w:val="both"/>
      </w:pPr>
      <w:r>
        <w:rPr>
          <w:rFonts w:ascii="Times New Roman" w:eastAsia="Times New Roman" w:hAnsi="Times New Roman" w:cs="Times New Roman"/>
          <w:sz w:val="20"/>
        </w:rPr>
        <w:t xml:space="preserve">projektem budowlanym;  </w:t>
      </w:r>
    </w:p>
    <w:p w14:paraId="64E7C14B" w14:textId="77777777" w:rsidR="00B569C0" w:rsidRDefault="00861F37">
      <w:pPr>
        <w:numPr>
          <w:ilvl w:val="1"/>
          <w:numId w:val="5"/>
        </w:numPr>
        <w:spacing w:after="27" w:line="248" w:lineRule="auto"/>
        <w:ind w:right="212" w:hanging="420"/>
        <w:jc w:val="both"/>
      </w:pPr>
      <w:r>
        <w:rPr>
          <w:rFonts w:ascii="Times New Roman" w:eastAsia="Times New Roman" w:hAnsi="Times New Roman" w:cs="Times New Roman"/>
          <w:sz w:val="20"/>
        </w:rPr>
        <w:t xml:space="preserve">decyzją o pozwoleniu na użytkowanie budynku lub zawiadomieniem o zakończeniu budowy, do którego organ nadzoru budowlanego nie wniósł sprzeciwu; </w:t>
      </w:r>
    </w:p>
    <w:p w14:paraId="29EF46D2" w14:textId="77777777" w:rsidR="00B569C0" w:rsidRDefault="00861F37">
      <w:pPr>
        <w:numPr>
          <w:ilvl w:val="1"/>
          <w:numId w:val="5"/>
        </w:numPr>
        <w:spacing w:after="3" w:line="281" w:lineRule="auto"/>
        <w:ind w:right="212" w:hanging="420"/>
        <w:jc w:val="both"/>
      </w:pPr>
      <w:r>
        <w:rPr>
          <w:rFonts w:ascii="Times New Roman" w:eastAsia="Times New Roman" w:hAnsi="Times New Roman" w:cs="Times New Roman"/>
          <w:sz w:val="20"/>
        </w:rPr>
        <w:t xml:space="preserve">zaświadczeniem o samodzielności lokalu;  8) </w:t>
      </w:r>
      <w:r>
        <w:rPr>
          <w:rFonts w:ascii="Times New Roman" w:eastAsia="Times New Roman" w:hAnsi="Times New Roman" w:cs="Times New Roman"/>
          <w:sz w:val="20"/>
        </w:rPr>
        <w:tab/>
        <w:t xml:space="preserve">aktem ustanowienia odrębnej własności lokalu; 9) </w:t>
      </w:r>
      <w:r>
        <w:rPr>
          <w:rFonts w:ascii="Times New Roman" w:eastAsia="Times New Roman" w:hAnsi="Times New Roman" w:cs="Times New Roman"/>
          <w:sz w:val="20"/>
        </w:rPr>
        <w:tab/>
        <w:t xml:space="preserve">dokumentem potwierdzającym: </w:t>
      </w:r>
    </w:p>
    <w:p w14:paraId="5B7CACCC" w14:textId="77777777" w:rsidR="00B569C0" w:rsidRDefault="00861F37">
      <w:pPr>
        <w:numPr>
          <w:ilvl w:val="2"/>
          <w:numId w:val="6"/>
        </w:numPr>
        <w:spacing w:after="30" w:line="248" w:lineRule="auto"/>
        <w:ind w:left="1513" w:right="212" w:hanging="425"/>
        <w:jc w:val="both"/>
      </w:pPr>
      <w:r>
        <w:rPr>
          <w:rFonts w:ascii="Times New Roman" w:eastAsia="Times New Roman" w:hAnsi="Times New Roman" w:cs="Times New Roman"/>
          <w:sz w:val="20"/>
        </w:rPr>
        <w:t xml:space="preserve">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8FDE506" w14:textId="77777777" w:rsidR="00B569C0" w:rsidRDefault="00861F37">
      <w:pPr>
        <w:numPr>
          <w:ilvl w:val="2"/>
          <w:numId w:val="6"/>
        </w:numPr>
        <w:spacing w:after="0" w:line="248" w:lineRule="auto"/>
        <w:ind w:left="1513" w:right="212" w:hanging="425"/>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Pr>
          <w:rFonts w:ascii="Times New Roman" w:eastAsia="Times New Roman" w:hAnsi="Times New Roman" w:cs="Times New Roman"/>
          <w:sz w:val="20"/>
        </w:rPr>
        <w:t>bezobciążeniowe</w:t>
      </w:r>
      <w:proofErr w:type="spellEnd"/>
      <w:r>
        <w:rPr>
          <w:rFonts w:ascii="Times New Roman" w:eastAsia="Times New Roman" w:hAnsi="Times New Roman" w:cs="Times New Roman"/>
          <w:sz w:val="20"/>
        </w:rPr>
        <w:t xml:space="preserve"> przeniesienie na nabywcę ułamkowej części własności lokalu użytkowego po wpłacie pełnej ceny przez nabywcę lub zobowiązanie do udzielenia takiej zgody, jeżeli takie obciążenie istnieje. </w:t>
      </w:r>
    </w:p>
    <w:p w14:paraId="1F480BFF" w14:textId="77777777" w:rsidR="00B569C0" w:rsidRDefault="00861F37">
      <w:pPr>
        <w:spacing w:after="0"/>
        <w:ind w:left="850" w:right="212"/>
      </w:pPr>
      <w:r>
        <w:rPr>
          <w:rFonts w:ascii="Times New Roman" w:eastAsia="Times New Roman" w:hAnsi="Times New Roman" w:cs="Times New Roman"/>
          <w:sz w:val="20"/>
        </w:rPr>
        <w:t xml:space="preserve"> </w:t>
      </w:r>
    </w:p>
    <w:p w14:paraId="2A00EFEF" w14:textId="77777777" w:rsidR="00B569C0" w:rsidRDefault="00861F37">
      <w:pPr>
        <w:numPr>
          <w:ilvl w:val="0"/>
          <w:numId w:val="3"/>
        </w:numPr>
        <w:spacing w:after="132" w:line="248" w:lineRule="auto"/>
        <w:ind w:right="212" w:hanging="284"/>
        <w:jc w:val="both"/>
      </w:pPr>
      <w:r>
        <w:rPr>
          <w:rFonts w:ascii="Times New Roman" w:eastAsia="Times New Roman" w:hAnsi="Times New Roman" w:cs="Times New Roman"/>
          <w:sz w:val="20"/>
        </w:rPr>
        <w:t xml:space="preserve">Informacja: </w:t>
      </w:r>
    </w:p>
    <w:p w14:paraId="01016371" w14:textId="77777777" w:rsidR="00B569C0" w:rsidRDefault="00861F37">
      <w:pPr>
        <w:spacing w:after="170" w:line="248" w:lineRule="auto"/>
        <w:ind w:right="212"/>
        <w:jc w:val="both"/>
      </w:pPr>
      <w:r>
        <w:rPr>
          <w:rFonts w:ascii="Times New Roman" w:eastAsia="Times New Roman" w:hAnsi="Times New Roman" w:cs="Times New Roman"/>
          <w:sz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14:paraId="2D50A1B2" w14:textId="77777777" w:rsidR="00B569C0" w:rsidRDefault="00861F37">
      <w:pPr>
        <w:spacing w:after="206" w:line="248" w:lineRule="auto"/>
        <w:ind w:left="10" w:right="212" w:hanging="10"/>
        <w:jc w:val="both"/>
      </w:pPr>
      <w:r>
        <w:rPr>
          <w:rFonts w:ascii="Times New Roman" w:eastAsia="Times New Roman" w:hAnsi="Times New Roman" w:cs="Times New Roman"/>
          <w:sz w:val="20"/>
        </w:rPr>
        <w:t xml:space="preserve">Informacje podstawowe o obowiązkowym systemie gwarantowania depozytów: </w:t>
      </w:r>
    </w:p>
    <w:p w14:paraId="0957F3A0" w14:textId="3D3CD35E" w:rsidR="00B569C0" w:rsidRDefault="00861F37">
      <w:pPr>
        <w:numPr>
          <w:ilvl w:val="0"/>
          <w:numId w:val="7"/>
        </w:numPr>
        <w:spacing w:after="170" w:line="248" w:lineRule="auto"/>
        <w:ind w:right="212" w:hanging="313"/>
        <w:jc w:val="both"/>
      </w:pPr>
      <w:r>
        <w:rPr>
          <w:rFonts w:ascii="Times New Roman" w:eastAsia="Times New Roman" w:hAnsi="Times New Roman" w:cs="Times New Roman"/>
          <w:sz w:val="20"/>
        </w:rPr>
        <w:t xml:space="preserve">ochrona środków dotyczy sytuacji spełnienia warunku gwarancji wobec </w:t>
      </w:r>
      <w:r w:rsidR="00F95A39" w:rsidRPr="00247940">
        <w:rPr>
          <w:rFonts w:ascii="Times New Roman" w:eastAsia="Times New Roman" w:hAnsi="Times New Roman" w:cs="Times New Roman"/>
          <w:sz w:val="20"/>
        </w:rPr>
        <w:t>Bank BPS S.A.</w:t>
      </w:r>
      <w:r>
        <w:rPr>
          <w:rFonts w:ascii="Times New Roman" w:eastAsia="Times New Roman" w:hAnsi="Times New Roman" w:cs="Times New Roman"/>
          <w:sz w:val="20"/>
        </w:rPr>
        <w:t xml:space="preserve">, </w:t>
      </w:r>
    </w:p>
    <w:p w14:paraId="0E29E475" w14:textId="77777777" w:rsidR="00B569C0" w:rsidRDefault="00861F37">
      <w:pPr>
        <w:numPr>
          <w:ilvl w:val="0"/>
          <w:numId w:val="7"/>
        </w:numPr>
        <w:spacing w:after="170" w:line="248" w:lineRule="auto"/>
        <w:ind w:right="212" w:hanging="313"/>
        <w:jc w:val="both"/>
      </w:pPr>
      <w:r>
        <w:rPr>
          <w:rFonts w:ascii="Times New Roman" w:eastAsia="Times New Roman" w:hAnsi="Times New Roman" w:cs="Times New Roman"/>
          <w:sz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782E157C" w14:textId="77777777" w:rsidR="00B569C0" w:rsidRDefault="00861F37">
      <w:pPr>
        <w:numPr>
          <w:ilvl w:val="0"/>
          <w:numId w:val="7"/>
        </w:numPr>
        <w:spacing w:after="170" w:line="248" w:lineRule="auto"/>
        <w:ind w:right="212" w:hanging="313"/>
        <w:jc w:val="both"/>
      </w:pPr>
      <w:r>
        <w:rPr>
          <w:rFonts w:ascii="Times New Roman" w:eastAsia="Times New Roman" w:hAnsi="Times New Roman" w:cs="Times New Roman"/>
          <w:sz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1AFB285A" w14:textId="77777777" w:rsidR="00B569C0" w:rsidRDefault="00861F37">
      <w:pPr>
        <w:numPr>
          <w:ilvl w:val="0"/>
          <w:numId w:val="7"/>
        </w:numPr>
        <w:spacing w:after="170" w:line="248" w:lineRule="auto"/>
        <w:ind w:right="212" w:hanging="313"/>
        <w:jc w:val="both"/>
      </w:pPr>
      <w:r>
        <w:rPr>
          <w:rFonts w:ascii="Times New Roman" w:eastAsia="Times New Roman" w:hAnsi="Times New Roman" w:cs="Times New Roman"/>
          <w:sz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tbl>
      <w:tblPr>
        <w:tblStyle w:val="TableGrid"/>
        <w:tblW w:w="9644" w:type="dxa"/>
        <w:tblInd w:w="6" w:type="dxa"/>
        <w:tblCellMar>
          <w:top w:w="87" w:type="dxa"/>
          <w:left w:w="107" w:type="dxa"/>
          <w:right w:w="59" w:type="dxa"/>
        </w:tblCellMar>
        <w:tblLook w:val="04A0" w:firstRow="1" w:lastRow="0" w:firstColumn="1" w:lastColumn="0" w:noHBand="0" w:noVBand="1"/>
      </w:tblPr>
      <w:tblGrid>
        <w:gridCol w:w="9644"/>
      </w:tblGrid>
      <w:tr w:rsidR="00B569C0" w14:paraId="4DDB1A57" w14:textId="77777777">
        <w:trPr>
          <w:trHeight w:val="643"/>
        </w:trPr>
        <w:tc>
          <w:tcPr>
            <w:tcW w:w="9644" w:type="dxa"/>
            <w:tcBorders>
              <w:top w:val="nil"/>
              <w:left w:val="single" w:sz="4" w:space="0" w:color="000000"/>
              <w:bottom w:val="nil"/>
              <w:right w:val="single" w:sz="4" w:space="0" w:color="000000"/>
            </w:tcBorders>
          </w:tcPr>
          <w:p w14:paraId="3047CEF3" w14:textId="77777777" w:rsidR="00B569C0" w:rsidRDefault="00861F37">
            <w:pPr>
              <w:ind w:left="313" w:hanging="313"/>
              <w:jc w:val="both"/>
            </w:pPr>
            <w:r>
              <w:rPr>
                <w:rFonts w:ascii="Times New Roman" w:eastAsia="Times New Roman" w:hAnsi="Times New Roman" w:cs="Times New Roman"/>
                <w:sz w:val="20"/>
              </w:rPr>
              <w:lastRenderedPageBreak/>
              <w:t xml:space="preserve">– wypłata środków gwarantowanych – co do zasady – następuje w terminie 7 dni roboczych od dnia spełnienia warunku gwarancji wobec banku lub kasy, </w:t>
            </w:r>
          </w:p>
        </w:tc>
      </w:tr>
      <w:tr w:rsidR="00B569C0" w14:paraId="619CB0F0" w14:textId="77777777">
        <w:trPr>
          <w:trHeight w:val="3621"/>
        </w:trPr>
        <w:tc>
          <w:tcPr>
            <w:tcW w:w="9644" w:type="dxa"/>
            <w:tcBorders>
              <w:top w:val="nil"/>
              <w:left w:val="single" w:sz="4" w:space="0" w:color="000000"/>
              <w:bottom w:val="single" w:sz="4" w:space="0" w:color="000000"/>
              <w:right w:val="single" w:sz="4" w:space="0" w:color="000000"/>
            </w:tcBorders>
            <w:shd w:val="clear" w:color="auto" w:fill="FFFFFF"/>
          </w:tcPr>
          <w:p w14:paraId="698E622E" w14:textId="77777777" w:rsidR="00B569C0" w:rsidRDefault="00861F37">
            <w:pPr>
              <w:numPr>
                <w:ilvl w:val="0"/>
                <w:numId w:val="10"/>
              </w:numPr>
              <w:spacing w:after="168"/>
              <w:ind w:hanging="313"/>
            </w:pPr>
            <w:r>
              <w:rPr>
                <w:rFonts w:ascii="Times New Roman" w:eastAsia="Times New Roman" w:hAnsi="Times New Roman" w:cs="Times New Roman"/>
                <w:sz w:val="20"/>
              </w:rPr>
              <w:t xml:space="preserve">wypłata środków gwarantowanych jest dokonywana w złotych, </w:t>
            </w:r>
          </w:p>
          <w:p w14:paraId="1659721A" w14:textId="3C09B8B2" w:rsidR="00B569C0" w:rsidRDefault="00F95A39">
            <w:pPr>
              <w:numPr>
                <w:ilvl w:val="0"/>
                <w:numId w:val="10"/>
              </w:numPr>
              <w:spacing w:after="104" w:line="279" w:lineRule="auto"/>
              <w:ind w:hanging="313"/>
            </w:pPr>
            <w:r w:rsidRPr="00247940">
              <w:rPr>
                <w:rFonts w:ascii="Times New Roman" w:eastAsia="Times New Roman" w:hAnsi="Times New Roman" w:cs="Times New Roman"/>
                <w:sz w:val="20"/>
              </w:rPr>
              <w:t>Bank BPS S.A.</w:t>
            </w:r>
            <w:r w:rsidR="00861F37">
              <w:rPr>
                <w:rFonts w:ascii="Times New Roman" w:eastAsia="Times New Roman" w:hAnsi="Times New Roman" w:cs="Times New Roman"/>
                <w:sz w:val="20"/>
              </w:rPr>
              <w:t xml:space="preserve"> korzysta także z następujących znaków towarowych: ........................... </w:t>
            </w:r>
          </w:p>
          <w:p w14:paraId="007B1ECC" w14:textId="77777777" w:rsidR="00B569C0" w:rsidRDefault="00861F37">
            <w:pPr>
              <w:spacing w:after="170" w:line="238" w:lineRule="auto"/>
              <w:jc w:val="both"/>
            </w:pPr>
            <w:r>
              <w:rPr>
                <w:rFonts w:ascii="Times New Roman" w:eastAsia="Times New Roman" w:hAnsi="Times New Roman" w:cs="Times New Roman"/>
                <w:sz w:val="20"/>
              </w:rPr>
              <w:t xml:space="preserve">Dalsze informacje na temat systemu gwarantowania depozytów można uzyskać na stronie internetowej Bankowego Funduszu Gwarancyjnego: https://www.bfg.pl/. </w:t>
            </w:r>
          </w:p>
          <w:p w14:paraId="0E59394D" w14:textId="77777777" w:rsidR="00B569C0" w:rsidRDefault="00861F37">
            <w:pPr>
              <w:spacing w:after="12" w:line="237" w:lineRule="auto"/>
              <w:ind w:left="28"/>
              <w:jc w:val="both"/>
            </w:pPr>
            <w:r>
              <w:rPr>
                <w:rFonts w:ascii="Times New Roman" w:eastAsia="Times New Roman" w:hAnsi="Times New Roman" w:cs="Times New Roman"/>
                <w:sz w:val="20"/>
              </w:rPr>
              <w:t xml:space="preserve">Informacja zamieszczana w przypadku zawarcia umowy mieszkaniowego rachunku powierniczego z oddziałem instytucji kredytowej w rozumieniu art. 4 ust. 1 pkt 18 ustawy z dnia 29 sierpnia 1997 r. – Prawo bankowe (Dz. U. </w:t>
            </w:r>
          </w:p>
          <w:p w14:paraId="0FF7F380" w14:textId="77777777" w:rsidR="00B569C0" w:rsidRDefault="00861F37">
            <w:pPr>
              <w:ind w:left="28"/>
            </w:pPr>
            <w:r>
              <w:rPr>
                <w:rFonts w:ascii="Times New Roman" w:eastAsia="Times New Roman" w:hAnsi="Times New Roman" w:cs="Times New Roman"/>
                <w:sz w:val="20"/>
              </w:rPr>
              <w:t xml:space="preserve">z 2023 r. poz. 2488). </w:t>
            </w:r>
          </w:p>
          <w:p w14:paraId="36454124" w14:textId="77777777" w:rsidR="00B569C0" w:rsidRDefault="00861F37">
            <w:pPr>
              <w:spacing w:after="26"/>
            </w:pPr>
            <w:r>
              <w:rPr>
                <w:rFonts w:ascii="Times New Roman" w:eastAsia="Times New Roman" w:hAnsi="Times New Roman" w:cs="Times New Roman"/>
                <w:sz w:val="16"/>
              </w:rPr>
              <w:t xml:space="preserve"> </w:t>
            </w:r>
          </w:p>
          <w:p w14:paraId="19E0D6CA" w14:textId="77777777" w:rsidR="00B569C0" w:rsidRDefault="00861F37">
            <w:pPr>
              <w:ind w:right="47"/>
              <w:jc w:val="both"/>
            </w:pPr>
            <w:r>
              <w:rPr>
                <w:rFonts w:ascii="Times New Roman" w:eastAsia="Times New Roman" w:hAnsi="Times New Roman" w:cs="Times New Roman"/>
                <w:sz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tc>
      </w:tr>
    </w:tbl>
    <w:p w14:paraId="533CD1CF" w14:textId="77777777" w:rsidR="00B569C0" w:rsidRDefault="00861F37">
      <w:pPr>
        <w:spacing w:after="31"/>
      </w:pPr>
      <w:r>
        <w:rPr>
          <w:rFonts w:ascii="Times New Roman" w:eastAsia="Times New Roman" w:hAnsi="Times New Roman" w:cs="Times New Roman"/>
          <w:b/>
          <w:sz w:val="20"/>
        </w:rPr>
        <w:t xml:space="preserve"> </w:t>
      </w:r>
    </w:p>
    <w:p w14:paraId="5F49DE3F" w14:textId="77777777" w:rsidR="00B569C0" w:rsidRDefault="00861F37">
      <w:pPr>
        <w:spacing w:after="0"/>
        <w:ind w:left="-5" w:hanging="10"/>
      </w:pPr>
      <w:r>
        <w:rPr>
          <w:rFonts w:ascii="Times New Roman" w:eastAsia="Times New Roman" w:hAnsi="Times New Roman" w:cs="Times New Roman"/>
          <w:b/>
          <w:sz w:val="20"/>
        </w:rPr>
        <w:t xml:space="preserve">CZĘŚĆ INDYWIDUALNA </w:t>
      </w:r>
    </w:p>
    <w:tbl>
      <w:tblPr>
        <w:tblStyle w:val="TableGrid"/>
        <w:tblW w:w="9646" w:type="dxa"/>
        <w:tblInd w:w="6" w:type="dxa"/>
        <w:tblCellMar>
          <w:top w:w="12" w:type="dxa"/>
          <w:left w:w="107" w:type="dxa"/>
          <w:right w:w="75" w:type="dxa"/>
        </w:tblCellMar>
        <w:tblLook w:val="04A0" w:firstRow="1" w:lastRow="0" w:firstColumn="1" w:lastColumn="0" w:noHBand="0" w:noVBand="1"/>
      </w:tblPr>
      <w:tblGrid>
        <w:gridCol w:w="2971"/>
        <w:gridCol w:w="3256"/>
        <w:gridCol w:w="3419"/>
      </w:tblGrid>
      <w:tr w:rsidR="00B569C0" w14:paraId="1FB42912" w14:textId="77777777">
        <w:trPr>
          <w:trHeight w:val="72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2FDFEDE1" w14:textId="77777777" w:rsidR="00B569C0" w:rsidRDefault="00861F37">
            <w:pPr>
              <w:ind w:right="283"/>
            </w:pPr>
            <w:r>
              <w:rPr>
                <w:rFonts w:ascii="Times New Roman" w:eastAsia="Times New Roman" w:hAnsi="Times New Roman" w:cs="Times New Roman"/>
                <w:sz w:val="20"/>
              </w:rPr>
              <w:t xml:space="preserve">Cena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3CB5A628" w14:textId="77777777" w:rsidR="00B569C0" w:rsidRDefault="00861F37">
            <w:pPr>
              <w:ind w:left="2"/>
            </w:pPr>
            <w:r>
              <w:rPr>
                <w:rFonts w:ascii="Times New Roman" w:eastAsia="Times New Roman" w:hAnsi="Times New Roman" w:cs="Times New Roman"/>
                <w:sz w:val="20"/>
              </w:rPr>
              <w:t xml:space="preserve"> </w:t>
            </w:r>
          </w:p>
        </w:tc>
      </w:tr>
      <w:tr w:rsidR="00B569C0" w14:paraId="3DB47AC1" w14:textId="77777777">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5D985787" w14:textId="77777777" w:rsidR="00B569C0" w:rsidRDefault="00861F37">
            <w:r>
              <w:rPr>
                <w:rFonts w:ascii="Times New Roman" w:eastAsia="Times New Roman" w:hAnsi="Times New Roman" w:cs="Times New Roman"/>
                <w:sz w:val="20"/>
              </w:rPr>
              <w:t xml:space="preserve">Powierzchnia użytkowa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3862B487" w14:textId="77777777" w:rsidR="00B569C0" w:rsidRDefault="00861F37">
            <w:pPr>
              <w:ind w:left="2"/>
            </w:pPr>
            <w:r>
              <w:rPr>
                <w:rFonts w:ascii="Times New Roman" w:eastAsia="Times New Roman" w:hAnsi="Times New Roman" w:cs="Times New Roman"/>
                <w:sz w:val="20"/>
              </w:rPr>
              <w:t xml:space="preserve"> </w:t>
            </w:r>
          </w:p>
        </w:tc>
      </w:tr>
      <w:tr w:rsidR="00B569C0" w14:paraId="15DDFD16" w14:textId="77777777">
        <w:trPr>
          <w:trHeight w:val="987"/>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4FD6248A" w14:textId="77777777" w:rsidR="00B569C0" w:rsidRDefault="00861F37">
            <w:r>
              <w:rPr>
                <w:rFonts w:ascii="Times New Roman" w:eastAsia="Times New Roman" w:hAnsi="Times New Roman" w:cs="Times New Roman"/>
                <w:sz w:val="20"/>
              </w:rPr>
              <w:t>Cena 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powierzchni użytkowej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6544A795" w14:textId="77777777" w:rsidR="00B569C0" w:rsidRDefault="00861F37">
            <w:pPr>
              <w:ind w:left="2"/>
            </w:pPr>
            <w:r>
              <w:rPr>
                <w:rFonts w:ascii="Times New Roman" w:eastAsia="Times New Roman" w:hAnsi="Times New Roman" w:cs="Times New Roman"/>
                <w:sz w:val="20"/>
              </w:rPr>
              <w:t xml:space="preserve"> </w:t>
            </w:r>
          </w:p>
        </w:tc>
      </w:tr>
      <w:tr w:rsidR="00B569C0" w14:paraId="4A55D2AC" w14:textId="77777777">
        <w:trPr>
          <w:trHeight w:val="3369"/>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042F56F" w14:textId="77777777" w:rsidR="00B569C0" w:rsidRDefault="00861F37">
            <w:pPr>
              <w:spacing w:line="277" w:lineRule="auto"/>
              <w:ind w:right="50"/>
            </w:pPr>
            <w:r>
              <w:rPr>
                <w:rFonts w:ascii="Times New Roman" w:eastAsia="Times New Roman" w:hAnsi="Times New Roman" w:cs="Times New Roman"/>
                <w:sz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w:t>
            </w:r>
          </w:p>
          <w:p w14:paraId="23CE5EE5" w14:textId="77777777" w:rsidR="00B569C0" w:rsidRDefault="00861F37">
            <w:pPr>
              <w:spacing w:after="13"/>
            </w:pPr>
            <w:r>
              <w:rPr>
                <w:rFonts w:ascii="Times New Roman" w:eastAsia="Times New Roman" w:hAnsi="Times New Roman" w:cs="Times New Roman"/>
                <w:sz w:val="20"/>
              </w:rPr>
              <w:t xml:space="preserve">oraz Deweloperskim Funduszu </w:t>
            </w:r>
          </w:p>
          <w:p w14:paraId="3F1B3A2E" w14:textId="77777777" w:rsidR="00B569C0" w:rsidRDefault="00861F37">
            <w:r>
              <w:rPr>
                <w:rFonts w:ascii="Times New Roman" w:eastAsia="Times New Roman" w:hAnsi="Times New Roman" w:cs="Times New Roman"/>
                <w:sz w:val="20"/>
              </w:rPr>
              <w:t xml:space="preserve">Gwarancyjnym </w:t>
            </w:r>
          </w:p>
        </w:tc>
        <w:tc>
          <w:tcPr>
            <w:tcW w:w="6675" w:type="dxa"/>
            <w:gridSpan w:val="2"/>
            <w:tcBorders>
              <w:top w:val="single" w:sz="4" w:space="0" w:color="000000"/>
              <w:left w:val="single" w:sz="4" w:space="0" w:color="000000"/>
              <w:bottom w:val="single" w:sz="4" w:space="0" w:color="000000"/>
              <w:right w:val="single" w:sz="4" w:space="0" w:color="000000"/>
            </w:tcBorders>
          </w:tcPr>
          <w:p w14:paraId="1293C769" w14:textId="6B8FBDE3" w:rsidR="00B569C0" w:rsidRDefault="00861F37">
            <w:pPr>
              <w:ind w:left="2"/>
            </w:pPr>
            <w:r>
              <w:rPr>
                <w:rFonts w:ascii="Times New Roman" w:eastAsia="Times New Roman" w:hAnsi="Times New Roman" w:cs="Times New Roman"/>
                <w:sz w:val="20"/>
              </w:rPr>
              <w:t xml:space="preserve"> </w:t>
            </w:r>
            <w:r w:rsidR="00304049">
              <w:rPr>
                <w:rFonts w:ascii="Times New Roman" w:eastAsia="Times New Roman" w:hAnsi="Times New Roman" w:cs="Times New Roman"/>
                <w:sz w:val="20"/>
              </w:rPr>
              <w:t>31-12-2026</w:t>
            </w:r>
          </w:p>
        </w:tc>
      </w:tr>
      <w:tr w:rsidR="00B569C0" w14:paraId="2975B0F5" w14:textId="77777777">
        <w:trPr>
          <w:trHeight w:val="580"/>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97FEDEB" w14:textId="77777777" w:rsidR="00B569C0" w:rsidRDefault="00861F37">
            <w:pPr>
              <w:ind w:right="84"/>
            </w:pPr>
            <w:r>
              <w:rPr>
                <w:rFonts w:ascii="Times New Roman" w:eastAsia="Times New Roman" w:hAnsi="Times New Roman" w:cs="Times New Roman"/>
                <w:sz w:val="20"/>
              </w:rPr>
              <w:t xml:space="preserve">Określenie położenia oraz istotnych cech domu jednorodzinnego albo budynku, w którym ma znajdować się lokal </w:t>
            </w:r>
            <w:r>
              <w:rPr>
                <w:rFonts w:ascii="Times New Roman" w:eastAsia="Times New Roman" w:hAnsi="Times New Roman" w:cs="Times New Roman"/>
                <w:sz w:val="20"/>
              </w:rPr>
              <w:lastRenderedPageBreak/>
              <w:t xml:space="preserve">mieszkalny będący przedmiotem umowy rezerwacyjnej albo umowy deweloperskiej lub jednej z umów, o których mowa w art. 2 ust. 1 pkt 2, 3 lub 5 lub ust. 2 ustawy z dnia 20 maja 2021 r. o ochronie praw nabywcy lokalu mieszkalnego lub domu </w:t>
            </w:r>
          </w:p>
        </w:tc>
        <w:tc>
          <w:tcPr>
            <w:tcW w:w="3256" w:type="dxa"/>
            <w:tcBorders>
              <w:top w:val="single" w:sz="4" w:space="0" w:color="000000"/>
              <w:left w:val="single" w:sz="4" w:space="0" w:color="000000"/>
              <w:bottom w:val="single" w:sz="4" w:space="0" w:color="000000"/>
              <w:right w:val="single" w:sz="4" w:space="0" w:color="000000"/>
            </w:tcBorders>
          </w:tcPr>
          <w:p w14:paraId="1BD73D9E" w14:textId="77777777" w:rsidR="00B569C0" w:rsidRDefault="00861F37">
            <w:pPr>
              <w:ind w:left="2"/>
            </w:pPr>
            <w:r>
              <w:rPr>
                <w:rFonts w:ascii="Times New Roman" w:eastAsia="Times New Roman" w:hAnsi="Times New Roman" w:cs="Times New Roman"/>
                <w:sz w:val="20"/>
              </w:rPr>
              <w:lastRenderedPageBreak/>
              <w:t xml:space="preserve">Liczba kondygnacji </w:t>
            </w:r>
          </w:p>
        </w:tc>
        <w:tc>
          <w:tcPr>
            <w:tcW w:w="3419" w:type="dxa"/>
            <w:tcBorders>
              <w:top w:val="single" w:sz="4" w:space="0" w:color="000000"/>
              <w:left w:val="single" w:sz="4" w:space="0" w:color="000000"/>
              <w:bottom w:val="single" w:sz="4" w:space="0" w:color="000000"/>
              <w:right w:val="single" w:sz="4" w:space="0" w:color="000000"/>
            </w:tcBorders>
          </w:tcPr>
          <w:p w14:paraId="2B63A9CC" w14:textId="51141162" w:rsidR="00B569C0" w:rsidRDefault="00861F37">
            <w:pPr>
              <w:ind w:left="1"/>
            </w:pPr>
            <w:r>
              <w:rPr>
                <w:rFonts w:ascii="Times New Roman" w:eastAsia="Times New Roman" w:hAnsi="Times New Roman" w:cs="Times New Roman"/>
                <w:sz w:val="20"/>
              </w:rPr>
              <w:t xml:space="preserve"> </w:t>
            </w:r>
          </w:p>
        </w:tc>
      </w:tr>
      <w:tr w:rsidR="00B569C0" w14:paraId="322E6F86" w14:textId="77777777">
        <w:trPr>
          <w:trHeight w:val="577"/>
        </w:trPr>
        <w:tc>
          <w:tcPr>
            <w:tcW w:w="0" w:type="auto"/>
            <w:vMerge/>
            <w:tcBorders>
              <w:top w:val="nil"/>
              <w:left w:val="single" w:sz="4" w:space="0" w:color="000000"/>
              <w:bottom w:val="nil"/>
              <w:right w:val="single" w:sz="4" w:space="0" w:color="000000"/>
            </w:tcBorders>
          </w:tcPr>
          <w:p w14:paraId="2312632C"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1373635B" w14:textId="77777777" w:rsidR="00B569C0" w:rsidRDefault="00861F37">
            <w:pPr>
              <w:ind w:left="2"/>
            </w:pPr>
            <w:r>
              <w:rPr>
                <w:rFonts w:ascii="Times New Roman" w:eastAsia="Times New Roman" w:hAnsi="Times New Roman" w:cs="Times New Roman"/>
                <w:sz w:val="20"/>
              </w:rPr>
              <w:t xml:space="preserve">Technologia wykonania </w:t>
            </w:r>
          </w:p>
        </w:tc>
        <w:tc>
          <w:tcPr>
            <w:tcW w:w="3419" w:type="dxa"/>
            <w:tcBorders>
              <w:top w:val="single" w:sz="4" w:space="0" w:color="000000"/>
              <w:left w:val="single" w:sz="4" w:space="0" w:color="000000"/>
              <w:bottom w:val="single" w:sz="4" w:space="0" w:color="000000"/>
              <w:right w:val="single" w:sz="4" w:space="0" w:color="000000"/>
            </w:tcBorders>
          </w:tcPr>
          <w:p w14:paraId="724B0023" w14:textId="77777777" w:rsidR="00B22451" w:rsidRPr="00CC666E" w:rsidRDefault="00861F37" w:rsidP="00B22451">
            <w:pPr>
              <w:pStyle w:val="TableParagraph"/>
              <w:rPr>
                <w:b/>
                <w:bCs/>
                <w:sz w:val="18"/>
              </w:rPr>
            </w:pPr>
            <w:r>
              <w:rPr>
                <w:sz w:val="20"/>
              </w:rPr>
              <w:t xml:space="preserve"> </w:t>
            </w:r>
            <w:r w:rsidR="00B22451" w:rsidRPr="00CC666E">
              <w:rPr>
                <w:b/>
                <w:bCs/>
                <w:sz w:val="18"/>
              </w:rPr>
              <w:t xml:space="preserve">Załącznik nr </w:t>
            </w:r>
            <w:r w:rsidR="00B22451">
              <w:rPr>
                <w:b/>
                <w:bCs/>
                <w:sz w:val="18"/>
              </w:rPr>
              <w:t>4</w:t>
            </w:r>
          </w:p>
          <w:p w14:paraId="4CB761C4" w14:textId="42512E22" w:rsidR="00B569C0" w:rsidRDefault="00B569C0">
            <w:pPr>
              <w:ind w:left="1"/>
            </w:pPr>
          </w:p>
        </w:tc>
      </w:tr>
      <w:tr w:rsidR="00B569C0" w14:paraId="57F7E993" w14:textId="77777777">
        <w:trPr>
          <w:trHeight w:val="2153"/>
        </w:trPr>
        <w:tc>
          <w:tcPr>
            <w:tcW w:w="0" w:type="auto"/>
            <w:vMerge/>
            <w:tcBorders>
              <w:top w:val="nil"/>
              <w:left w:val="single" w:sz="4" w:space="0" w:color="000000"/>
              <w:bottom w:val="single" w:sz="4" w:space="0" w:color="000000"/>
              <w:right w:val="single" w:sz="4" w:space="0" w:color="000000"/>
            </w:tcBorders>
          </w:tcPr>
          <w:p w14:paraId="3A7940EC"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58BC5E06" w14:textId="77777777" w:rsidR="00B569C0" w:rsidRDefault="00861F37">
            <w:pPr>
              <w:ind w:left="2" w:right="165"/>
            </w:pPr>
            <w:r>
              <w:rPr>
                <w:rFonts w:ascii="Times New Roman" w:eastAsia="Times New Roman" w:hAnsi="Times New Roman" w:cs="Times New Roman"/>
                <w:sz w:val="20"/>
              </w:rPr>
              <w:t xml:space="preserve">Standard prac wykończeniowych w części wspólnej budynku i terenie wokół niego, stanowiącym część wspólną nieruchomości </w:t>
            </w:r>
          </w:p>
        </w:tc>
        <w:tc>
          <w:tcPr>
            <w:tcW w:w="3419" w:type="dxa"/>
            <w:tcBorders>
              <w:top w:val="single" w:sz="4" w:space="0" w:color="000000"/>
              <w:left w:val="single" w:sz="4" w:space="0" w:color="000000"/>
              <w:bottom w:val="single" w:sz="4" w:space="0" w:color="000000"/>
              <w:right w:val="single" w:sz="4" w:space="0" w:color="000000"/>
            </w:tcBorders>
          </w:tcPr>
          <w:p w14:paraId="15D642CA" w14:textId="77777777" w:rsidR="00B22451" w:rsidRPr="00CC666E" w:rsidRDefault="00861F37" w:rsidP="00B22451">
            <w:pPr>
              <w:pStyle w:val="TableParagraph"/>
              <w:rPr>
                <w:b/>
                <w:bCs/>
                <w:sz w:val="18"/>
              </w:rPr>
            </w:pPr>
            <w:r>
              <w:rPr>
                <w:sz w:val="20"/>
              </w:rPr>
              <w:t xml:space="preserve"> </w:t>
            </w:r>
            <w:r w:rsidR="00B22451" w:rsidRPr="00CC666E">
              <w:rPr>
                <w:b/>
                <w:bCs/>
                <w:sz w:val="18"/>
              </w:rPr>
              <w:t xml:space="preserve">Załącznik nr </w:t>
            </w:r>
            <w:r w:rsidR="00B22451">
              <w:rPr>
                <w:b/>
                <w:bCs/>
                <w:sz w:val="18"/>
              </w:rPr>
              <w:t>4</w:t>
            </w:r>
          </w:p>
          <w:p w14:paraId="4D6FE02C" w14:textId="57CD066A" w:rsidR="00B569C0" w:rsidRDefault="00B569C0">
            <w:pPr>
              <w:ind w:left="1"/>
            </w:pPr>
          </w:p>
        </w:tc>
      </w:tr>
      <w:tr w:rsidR="00B569C0" w14:paraId="22EB02B0" w14:textId="77777777">
        <w:trPr>
          <w:trHeight w:val="45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C89454" w14:textId="77777777" w:rsidR="00B569C0" w:rsidRDefault="00861F37">
            <w:pPr>
              <w:spacing w:after="1" w:line="273" w:lineRule="auto"/>
              <w:jc w:val="both"/>
            </w:pPr>
            <w:r>
              <w:rPr>
                <w:rFonts w:ascii="Times New Roman" w:eastAsia="Times New Roman" w:hAnsi="Times New Roman" w:cs="Times New Roman"/>
                <w:sz w:val="20"/>
              </w:rPr>
              <w:t xml:space="preserve">jednorodzinnego oraz Deweloperskim Funduszu </w:t>
            </w:r>
          </w:p>
          <w:p w14:paraId="15EF31E3" w14:textId="77777777" w:rsidR="00B569C0" w:rsidRDefault="00861F37">
            <w:r>
              <w:rPr>
                <w:rFonts w:ascii="Times New Roman" w:eastAsia="Times New Roman" w:hAnsi="Times New Roman" w:cs="Times New Roman"/>
                <w:sz w:val="20"/>
              </w:rPr>
              <w:t xml:space="preserve">Gwarancyjnym </w:t>
            </w:r>
          </w:p>
        </w:tc>
        <w:tc>
          <w:tcPr>
            <w:tcW w:w="3256" w:type="dxa"/>
            <w:tcBorders>
              <w:top w:val="single" w:sz="4" w:space="0" w:color="000000"/>
              <w:left w:val="single" w:sz="4" w:space="0" w:color="000000"/>
              <w:bottom w:val="single" w:sz="4" w:space="0" w:color="000000"/>
              <w:right w:val="single" w:sz="4" w:space="0" w:color="000000"/>
            </w:tcBorders>
          </w:tcPr>
          <w:p w14:paraId="14597D00" w14:textId="77777777" w:rsidR="00B569C0" w:rsidRDefault="00861F37">
            <w:pPr>
              <w:ind w:left="2"/>
            </w:pPr>
            <w:r>
              <w:rPr>
                <w:rFonts w:ascii="Times New Roman" w:eastAsia="Times New Roman" w:hAnsi="Times New Roman" w:cs="Times New Roman"/>
                <w:sz w:val="20"/>
              </w:rPr>
              <w:t xml:space="preserve">Liczba lokali w budynku </w:t>
            </w:r>
          </w:p>
        </w:tc>
        <w:tc>
          <w:tcPr>
            <w:tcW w:w="3419" w:type="dxa"/>
            <w:tcBorders>
              <w:top w:val="single" w:sz="4" w:space="0" w:color="000000"/>
              <w:left w:val="single" w:sz="4" w:space="0" w:color="000000"/>
              <w:bottom w:val="single" w:sz="4" w:space="0" w:color="000000"/>
              <w:right w:val="single" w:sz="4" w:space="0" w:color="000000"/>
            </w:tcBorders>
          </w:tcPr>
          <w:p w14:paraId="481D30EE" w14:textId="287CC6C3" w:rsidR="00B569C0" w:rsidRDefault="00F63A32">
            <w:pPr>
              <w:ind w:left="1"/>
            </w:pPr>
            <w:r>
              <w:rPr>
                <w:rFonts w:ascii="Times New Roman" w:eastAsia="Times New Roman" w:hAnsi="Times New Roman" w:cs="Times New Roman"/>
                <w:sz w:val="20"/>
              </w:rPr>
              <w:t>2</w:t>
            </w:r>
            <w:r w:rsidR="00861F37">
              <w:rPr>
                <w:rFonts w:ascii="Times New Roman" w:eastAsia="Times New Roman" w:hAnsi="Times New Roman" w:cs="Times New Roman"/>
                <w:sz w:val="20"/>
              </w:rPr>
              <w:t xml:space="preserve"> </w:t>
            </w:r>
          </w:p>
        </w:tc>
      </w:tr>
      <w:tr w:rsidR="00B569C0" w14:paraId="0B324369" w14:textId="77777777">
        <w:trPr>
          <w:trHeight w:val="619"/>
        </w:trPr>
        <w:tc>
          <w:tcPr>
            <w:tcW w:w="0" w:type="auto"/>
            <w:vMerge/>
            <w:tcBorders>
              <w:top w:val="nil"/>
              <w:left w:val="single" w:sz="4" w:space="0" w:color="000000"/>
              <w:bottom w:val="nil"/>
              <w:right w:val="single" w:sz="4" w:space="0" w:color="000000"/>
            </w:tcBorders>
          </w:tcPr>
          <w:p w14:paraId="2CD2E6D1"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1EDA157" w14:textId="77777777" w:rsidR="00B569C0" w:rsidRDefault="00861F37">
            <w:pPr>
              <w:ind w:left="2" w:right="798"/>
            </w:pPr>
            <w:r>
              <w:rPr>
                <w:rFonts w:ascii="Times New Roman" w:eastAsia="Times New Roman" w:hAnsi="Times New Roman" w:cs="Times New Roman"/>
                <w:sz w:val="20"/>
              </w:rPr>
              <w:t xml:space="preserve">Liczba miejsc garażowych i postojowych </w:t>
            </w:r>
          </w:p>
        </w:tc>
        <w:tc>
          <w:tcPr>
            <w:tcW w:w="3419" w:type="dxa"/>
            <w:tcBorders>
              <w:top w:val="single" w:sz="4" w:space="0" w:color="000000"/>
              <w:left w:val="single" w:sz="4" w:space="0" w:color="000000"/>
              <w:bottom w:val="single" w:sz="4" w:space="0" w:color="000000"/>
              <w:right w:val="single" w:sz="4" w:space="0" w:color="000000"/>
            </w:tcBorders>
          </w:tcPr>
          <w:p w14:paraId="0453500A" w14:textId="01A9994E" w:rsidR="00B569C0" w:rsidRDefault="00F63A32">
            <w:pPr>
              <w:ind w:left="1"/>
            </w:pPr>
            <w:r>
              <w:t xml:space="preserve">1 na budynek zgodnie z MPZT </w:t>
            </w:r>
          </w:p>
        </w:tc>
      </w:tr>
      <w:tr w:rsidR="00B569C0" w14:paraId="2960BA09" w14:textId="77777777">
        <w:trPr>
          <w:trHeight w:val="491"/>
        </w:trPr>
        <w:tc>
          <w:tcPr>
            <w:tcW w:w="0" w:type="auto"/>
            <w:vMerge/>
            <w:tcBorders>
              <w:top w:val="nil"/>
              <w:left w:val="single" w:sz="4" w:space="0" w:color="000000"/>
              <w:bottom w:val="nil"/>
              <w:right w:val="single" w:sz="4" w:space="0" w:color="000000"/>
            </w:tcBorders>
          </w:tcPr>
          <w:p w14:paraId="2250DA54"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12D4916D" w14:textId="77777777" w:rsidR="00B569C0" w:rsidRDefault="00861F37">
            <w:pPr>
              <w:ind w:left="2"/>
            </w:pPr>
            <w:r>
              <w:rPr>
                <w:rFonts w:ascii="Times New Roman" w:eastAsia="Times New Roman" w:hAnsi="Times New Roman" w:cs="Times New Roman"/>
                <w:sz w:val="20"/>
              </w:rPr>
              <w:t xml:space="preserve">Dostępne media w budynku </w:t>
            </w:r>
          </w:p>
        </w:tc>
        <w:tc>
          <w:tcPr>
            <w:tcW w:w="3419" w:type="dxa"/>
            <w:tcBorders>
              <w:top w:val="single" w:sz="4" w:space="0" w:color="000000"/>
              <w:left w:val="single" w:sz="4" w:space="0" w:color="000000"/>
              <w:bottom w:val="single" w:sz="4" w:space="0" w:color="000000"/>
              <w:right w:val="single" w:sz="4" w:space="0" w:color="000000"/>
            </w:tcBorders>
          </w:tcPr>
          <w:p w14:paraId="5E9FA6E7" w14:textId="77777777" w:rsidR="00C36224" w:rsidRPr="00CC666E" w:rsidRDefault="00861F37" w:rsidP="00C36224">
            <w:pPr>
              <w:pStyle w:val="TableParagraph"/>
              <w:rPr>
                <w:b/>
                <w:bCs/>
                <w:sz w:val="18"/>
              </w:rPr>
            </w:pPr>
            <w:r>
              <w:rPr>
                <w:sz w:val="20"/>
              </w:rPr>
              <w:t xml:space="preserve"> </w:t>
            </w:r>
            <w:r w:rsidR="00C36224" w:rsidRPr="00CC666E">
              <w:rPr>
                <w:b/>
                <w:bCs/>
                <w:sz w:val="18"/>
              </w:rPr>
              <w:t xml:space="preserve">Załącznik nr </w:t>
            </w:r>
            <w:r w:rsidR="00C36224">
              <w:rPr>
                <w:b/>
                <w:bCs/>
                <w:sz w:val="18"/>
              </w:rPr>
              <w:t>4</w:t>
            </w:r>
          </w:p>
          <w:p w14:paraId="7FDBABF4" w14:textId="2DD2C1F0" w:rsidR="00B569C0" w:rsidRDefault="00B569C0">
            <w:pPr>
              <w:ind w:left="1"/>
            </w:pPr>
          </w:p>
        </w:tc>
      </w:tr>
      <w:tr w:rsidR="00B569C0" w14:paraId="7EC8402A" w14:textId="77777777">
        <w:trPr>
          <w:trHeight w:val="459"/>
        </w:trPr>
        <w:tc>
          <w:tcPr>
            <w:tcW w:w="0" w:type="auto"/>
            <w:vMerge/>
            <w:tcBorders>
              <w:top w:val="nil"/>
              <w:left w:val="single" w:sz="4" w:space="0" w:color="000000"/>
              <w:bottom w:val="single" w:sz="4" w:space="0" w:color="000000"/>
              <w:right w:val="single" w:sz="4" w:space="0" w:color="000000"/>
            </w:tcBorders>
          </w:tcPr>
          <w:p w14:paraId="7ECDB1A0" w14:textId="77777777" w:rsidR="00B569C0" w:rsidRDefault="00B569C0"/>
        </w:tc>
        <w:tc>
          <w:tcPr>
            <w:tcW w:w="3256" w:type="dxa"/>
            <w:tcBorders>
              <w:top w:val="single" w:sz="4" w:space="0" w:color="000000"/>
              <w:left w:val="single" w:sz="4" w:space="0" w:color="000000"/>
              <w:bottom w:val="single" w:sz="4" w:space="0" w:color="000000"/>
              <w:right w:val="single" w:sz="4" w:space="0" w:color="000000"/>
            </w:tcBorders>
          </w:tcPr>
          <w:p w14:paraId="34243678" w14:textId="77777777" w:rsidR="00B569C0" w:rsidRDefault="00861F37">
            <w:pPr>
              <w:ind w:left="2"/>
            </w:pPr>
            <w:r>
              <w:rPr>
                <w:rFonts w:ascii="Times New Roman" w:eastAsia="Times New Roman" w:hAnsi="Times New Roman" w:cs="Times New Roman"/>
                <w:sz w:val="20"/>
              </w:rPr>
              <w:t xml:space="preserve">Dostęp do drogi publicznej </w:t>
            </w:r>
          </w:p>
        </w:tc>
        <w:tc>
          <w:tcPr>
            <w:tcW w:w="3419" w:type="dxa"/>
            <w:tcBorders>
              <w:top w:val="single" w:sz="4" w:space="0" w:color="000000"/>
              <w:left w:val="single" w:sz="4" w:space="0" w:color="000000"/>
              <w:bottom w:val="single" w:sz="4" w:space="0" w:color="000000"/>
              <w:right w:val="single" w:sz="4" w:space="0" w:color="000000"/>
            </w:tcBorders>
          </w:tcPr>
          <w:p w14:paraId="6C4A706F" w14:textId="0B316BA4" w:rsidR="00B569C0" w:rsidRDefault="00861F37">
            <w:pPr>
              <w:ind w:left="1"/>
            </w:pPr>
            <w:r>
              <w:rPr>
                <w:rFonts w:ascii="Times New Roman" w:eastAsia="Times New Roman" w:hAnsi="Times New Roman" w:cs="Times New Roman"/>
                <w:sz w:val="20"/>
              </w:rPr>
              <w:t xml:space="preserve"> </w:t>
            </w:r>
            <w:r w:rsidR="00934049">
              <w:rPr>
                <w:rFonts w:ascii="Times New Roman" w:eastAsia="Times New Roman" w:hAnsi="Times New Roman" w:cs="Times New Roman"/>
                <w:sz w:val="20"/>
              </w:rPr>
              <w:t>Dostęp do drogi gminnej</w:t>
            </w:r>
            <w:r w:rsidR="001D7297">
              <w:rPr>
                <w:rFonts w:ascii="Times New Roman" w:eastAsia="Times New Roman" w:hAnsi="Times New Roman" w:cs="Times New Roman"/>
                <w:sz w:val="20"/>
              </w:rPr>
              <w:t xml:space="preserve"> publicznej </w:t>
            </w:r>
            <w:r w:rsidR="00651702">
              <w:rPr>
                <w:rFonts w:ascii="Times New Roman" w:eastAsia="Times New Roman" w:hAnsi="Times New Roman" w:cs="Times New Roman"/>
                <w:sz w:val="20"/>
              </w:rPr>
              <w:t>nr 560890 k</w:t>
            </w:r>
          </w:p>
        </w:tc>
      </w:tr>
      <w:tr w:rsidR="00B569C0" w14:paraId="5E5C4236" w14:textId="77777777">
        <w:trPr>
          <w:trHeight w:val="151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6352968C" w14:textId="77777777" w:rsidR="00B569C0" w:rsidRDefault="00861F37">
            <w:r>
              <w:rPr>
                <w:rFonts w:ascii="Times New Roman" w:eastAsia="Times New Roman" w:hAnsi="Times New Roman" w:cs="Times New Roman"/>
                <w:sz w:val="20"/>
              </w:rPr>
              <w:t xml:space="preserve">Określenie usytuowania lokalu mieszkalnego w budynku, jeżeli przedsięwzięcie deweloperskie lub zadanie inwestycyjne dotyczy lokali mieszkalnych </w:t>
            </w:r>
          </w:p>
        </w:tc>
        <w:tc>
          <w:tcPr>
            <w:tcW w:w="6675" w:type="dxa"/>
            <w:gridSpan w:val="2"/>
            <w:tcBorders>
              <w:top w:val="single" w:sz="4" w:space="0" w:color="000000"/>
              <w:left w:val="single" w:sz="4" w:space="0" w:color="000000"/>
              <w:bottom w:val="single" w:sz="4" w:space="0" w:color="000000"/>
              <w:right w:val="single" w:sz="4" w:space="0" w:color="000000"/>
            </w:tcBorders>
          </w:tcPr>
          <w:p w14:paraId="72666C79" w14:textId="670B8AB5" w:rsidR="00B569C0" w:rsidRDefault="00861F37">
            <w:pPr>
              <w:ind w:left="2"/>
            </w:pPr>
            <w:r>
              <w:rPr>
                <w:rFonts w:ascii="Times New Roman" w:eastAsia="Times New Roman" w:hAnsi="Times New Roman" w:cs="Times New Roman"/>
                <w:sz w:val="20"/>
              </w:rPr>
              <w:t xml:space="preserve"> </w:t>
            </w:r>
          </w:p>
        </w:tc>
      </w:tr>
      <w:tr w:rsidR="00B569C0" w14:paraId="6DB2128C" w14:textId="77777777">
        <w:trPr>
          <w:trHeight w:val="1781"/>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1464ECF5" w14:textId="77777777" w:rsidR="00B569C0" w:rsidRDefault="00861F37">
            <w:r>
              <w:rPr>
                <w:rFonts w:ascii="Times New Roman" w:eastAsia="Times New Roman" w:hAnsi="Times New Roman" w:cs="Times New Roman"/>
                <w:sz w:val="20"/>
              </w:rPr>
              <w:t xml:space="preserve">Określenie powierzchni użytkowej i układu pomieszczeń oraz zakresu i standardu prac wykończeniowych, do których wykonania zobowiązuje się deweloper </w:t>
            </w:r>
          </w:p>
        </w:tc>
        <w:tc>
          <w:tcPr>
            <w:tcW w:w="6675" w:type="dxa"/>
            <w:gridSpan w:val="2"/>
            <w:tcBorders>
              <w:top w:val="single" w:sz="4" w:space="0" w:color="000000"/>
              <w:left w:val="single" w:sz="4" w:space="0" w:color="000000"/>
              <w:bottom w:val="single" w:sz="4" w:space="0" w:color="000000"/>
              <w:right w:val="single" w:sz="4" w:space="0" w:color="000000"/>
            </w:tcBorders>
          </w:tcPr>
          <w:p w14:paraId="64DBA4A7" w14:textId="77777777" w:rsidR="00234894" w:rsidRDefault="00861F37" w:rsidP="00234894">
            <w:pPr>
              <w:pStyle w:val="TableParagraph"/>
              <w:rPr>
                <w:b/>
                <w:bCs/>
                <w:sz w:val="18"/>
              </w:rPr>
            </w:pPr>
            <w:r>
              <w:rPr>
                <w:sz w:val="20"/>
              </w:rPr>
              <w:t xml:space="preserve"> </w:t>
            </w:r>
            <w:r w:rsidR="00234894">
              <w:rPr>
                <w:b/>
                <w:bCs/>
                <w:sz w:val="18"/>
              </w:rPr>
              <w:t>Załącznik nr 1</w:t>
            </w:r>
          </w:p>
          <w:p w14:paraId="7EE33696" w14:textId="68C69398" w:rsidR="00B569C0" w:rsidRDefault="00234894" w:rsidP="00234894">
            <w:pPr>
              <w:ind w:left="2"/>
            </w:pPr>
            <w:r>
              <w:rPr>
                <w:b/>
                <w:bCs/>
                <w:sz w:val="18"/>
              </w:rPr>
              <w:t xml:space="preserve"> </w:t>
            </w:r>
            <w:r w:rsidRPr="001F2FC6">
              <w:rPr>
                <w:b/>
                <w:bCs/>
                <w:sz w:val="18"/>
              </w:rPr>
              <w:t>Załącznik nr 4</w:t>
            </w:r>
          </w:p>
        </w:tc>
      </w:tr>
      <w:tr w:rsidR="00B569C0" w14:paraId="47F7D3DB" w14:textId="77777777">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637E8104" w14:textId="77777777" w:rsidR="00B569C0" w:rsidRDefault="00861F37">
            <w:pPr>
              <w:spacing w:line="312" w:lineRule="auto"/>
              <w:ind w:right="292"/>
            </w:pPr>
            <w:r>
              <w:rPr>
                <w:rFonts w:ascii="Times New Roman" w:eastAsia="Times New Roman" w:hAnsi="Times New Roman" w:cs="Times New Roman"/>
                <w:sz w:val="20"/>
              </w:rPr>
              <w:t xml:space="preserve">Data wydania zaświadczenia o samodzielności lokalu </w:t>
            </w:r>
          </w:p>
          <w:p w14:paraId="07284F8C" w14:textId="77777777" w:rsidR="00B569C0" w:rsidRDefault="00861F37">
            <w:r>
              <w:rPr>
                <w:rFonts w:ascii="Times New Roman" w:eastAsia="Times New Roman" w:hAnsi="Times New Roman" w:cs="Times New Roman"/>
                <w:sz w:val="20"/>
              </w:rPr>
              <w:t xml:space="preserve">mieszkalnego </w:t>
            </w:r>
          </w:p>
        </w:tc>
        <w:tc>
          <w:tcPr>
            <w:tcW w:w="6675" w:type="dxa"/>
            <w:gridSpan w:val="2"/>
            <w:tcBorders>
              <w:top w:val="single" w:sz="4" w:space="0" w:color="000000"/>
              <w:left w:val="single" w:sz="4" w:space="0" w:color="000000"/>
              <w:bottom w:val="single" w:sz="4" w:space="0" w:color="000000"/>
              <w:right w:val="single" w:sz="4" w:space="0" w:color="000000"/>
            </w:tcBorders>
          </w:tcPr>
          <w:p w14:paraId="30806036" w14:textId="000CFE95" w:rsidR="00B569C0" w:rsidRDefault="00861F37">
            <w:pPr>
              <w:ind w:left="2"/>
            </w:pPr>
            <w:r>
              <w:rPr>
                <w:rFonts w:ascii="Times New Roman" w:eastAsia="Times New Roman" w:hAnsi="Times New Roman" w:cs="Times New Roman"/>
                <w:sz w:val="20"/>
              </w:rPr>
              <w:t xml:space="preserve"> </w:t>
            </w:r>
            <w:r w:rsidR="001458F3">
              <w:rPr>
                <w:sz w:val="18"/>
              </w:rPr>
              <w:t>NIE DOTYCZY</w:t>
            </w:r>
          </w:p>
        </w:tc>
      </w:tr>
      <w:tr w:rsidR="00B569C0" w14:paraId="62A0C15F" w14:textId="77777777">
        <w:trPr>
          <w:trHeight w:val="723"/>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987430A" w14:textId="77777777" w:rsidR="00B569C0" w:rsidRDefault="00861F37">
            <w:r>
              <w:rPr>
                <w:rFonts w:ascii="Times New Roman" w:eastAsia="Times New Roman" w:hAnsi="Times New Roman" w:cs="Times New Roman"/>
                <w:sz w:val="20"/>
              </w:rPr>
              <w:t xml:space="preserve">Data ustanowienia odrębnej własności lokalu mieszkalnego </w:t>
            </w:r>
          </w:p>
        </w:tc>
        <w:tc>
          <w:tcPr>
            <w:tcW w:w="6675" w:type="dxa"/>
            <w:gridSpan w:val="2"/>
            <w:tcBorders>
              <w:top w:val="single" w:sz="4" w:space="0" w:color="000000"/>
              <w:left w:val="single" w:sz="4" w:space="0" w:color="000000"/>
              <w:bottom w:val="single" w:sz="4" w:space="0" w:color="000000"/>
              <w:right w:val="single" w:sz="4" w:space="0" w:color="000000"/>
            </w:tcBorders>
          </w:tcPr>
          <w:p w14:paraId="25239F3E" w14:textId="3C5C24F8" w:rsidR="00B569C0" w:rsidRDefault="00861F37">
            <w:pPr>
              <w:ind w:left="2"/>
            </w:pPr>
            <w:r>
              <w:rPr>
                <w:rFonts w:ascii="Times New Roman" w:eastAsia="Times New Roman" w:hAnsi="Times New Roman" w:cs="Times New Roman"/>
                <w:sz w:val="20"/>
              </w:rPr>
              <w:t xml:space="preserve"> </w:t>
            </w:r>
            <w:r w:rsidR="001458F3">
              <w:rPr>
                <w:sz w:val="18"/>
              </w:rPr>
              <w:t>NIE DOTYCZY</w:t>
            </w:r>
          </w:p>
        </w:tc>
      </w:tr>
      <w:tr w:rsidR="00B569C0" w14:paraId="7D96919C" w14:textId="77777777">
        <w:trPr>
          <w:trHeight w:val="1252"/>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4C274E06" w14:textId="77777777" w:rsidR="00B569C0" w:rsidRDefault="00861F37">
            <w:pPr>
              <w:ind w:right="180"/>
            </w:pPr>
            <w:r>
              <w:rPr>
                <w:rFonts w:ascii="Times New Roman" w:eastAsia="Times New Roman" w:hAnsi="Times New Roman" w:cs="Times New Roman"/>
                <w:sz w:val="20"/>
              </w:rPr>
              <w:t xml:space="preserve">Informacje o lokalu użytkowym nabywanym równocześnie z lokalem mieszkalnym albo domem jednorodzinnym </w:t>
            </w:r>
          </w:p>
        </w:tc>
        <w:tc>
          <w:tcPr>
            <w:tcW w:w="6675" w:type="dxa"/>
            <w:gridSpan w:val="2"/>
            <w:tcBorders>
              <w:top w:val="single" w:sz="4" w:space="0" w:color="000000"/>
              <w:left w:val="single" w:sz="4" w:space="0" w:color="000000"/>
              <w:bottom w:val="single" w:sz="4" w:space="0" w:color="000000"/>
              <w:right w:val="single" w:sz="4" w:space="0" w:color="000000"/>
            </w:tcBorders>
          </w:tcPr>
          <w:p w14:paraId="1AE92754" w14:textId="5C1225FB" w:rsidR="00B569C0" w:rsidRDefault="00861F37">
            <w:pPr>
              <w:ind w:left="2"/>
            </w:pPr>
            <w:r>
              <w:rPr>
                <w:rFonts w:ascii="Times New Roman" w:eastAsia="Times New Roman" w:hAnsi="Times New Roman" w:cs="Times New Roman"/>
                <w:sz w:val="20"/>
              </w:rPr>
              <w:t xml:space="preserve"> </w:t>
            </w:r>
            <w:r w:rsidR="001458F3">
              <w:rPr>
                <w:sz w:val="18"/>
              </w:rPr>
              <w:t>NIE DOTYCZY</w:t>
            </w:r>
          </w:p>
        </w:tc>
      </w:tr>
      <w:tr w:rsidR="00B569C0" w14:paraId="16BDA205" w14:textId="77777777">
        <w:trPr>
          <w:trHeight w:val="988"/>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145D148C" w14:textId="77777777" w:rsidR="00B569C0" w:rsidRDefault="00861F37">
            <w:r>
              <w:rPr>
                <w:rFonts w:ascii="Times New Roman" w:eastAsia="Times New Roman" w:hAnsi="Times New Roman" w:cs="Times New Roman"/>
                <w:sz w:val="20"/>
              </w:rPr>
              <w:t xml:space="preserve">Cena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14:paraId="51E9F089" w14:textId="197E256C" w:rsidR="00B569C0" w:rsidRDefault="00861F37">
            <w:pPr>
              <w:ind w:left="2"/>
            </w:pPr>
            <w:r>
              <w:rPr>
                <w:rFonts w:ascii="Times New Roman" w:eastAsia="Times New Roman" w:hAnsi="Times New Roman" w:cs="Times New Roman"/>
                <w:sz w:val="20"/>
              </w:rPr>
              <w:t xml:space="preserve"> </w:t>
            </w:r>
            <w:r w:rsidR="001458F3">
              <w:rPr>
                <w:sz w:val="18"/>
              </w:rPr>
              <w:t>NIE DOTYCZY</w:t>
            </w:r>
          </w:p>
        </w:tc>
      </w:tr>
      <w:tr w:rsidR="00B569C0" w14:paraId="077F900E" w14:textId="77777777">
        <w:trPr>
          <w:trHeight w:val="1516"/>
        </w:trPr>
        <w:tc>
          <w:tcPr>
            <w:tcW w:w="2970" w:type="dxa"/>
            <w:tcBorders>
              <w:top w:val="single" w:sz="4" w:space="0" w:color="000000"/>
              <w:left w:val="single" w:sz="4" w:space="0" w:color="000000"/>
              <w:bottom w:val="single" w:sz="4" w:space="0" w:color="000000"/>
              <w:right w:val="single" w:sz="4" w:space="0" w:color="000000"/>
            </w:tcBorders>
            <w:shd w:val="clear" w:color="auto" w:fill="F3F3F3"/>
          </w:tcPr>
          <w:p w14:paraId="03FD6306" w14:textId="77777777" w:rsidR="00B569C0" w:rsidRDefault="00861F37">
            <w:r>
              <w:rPr>
                <w:rFonts w:ascii="Times New Roman" w:eastAsia="Times New Roman" w:hAnsi="Times New Roman" w:cs="Times New Roman"/>
                <w:sz w:val="20"/>
              </w:rPr>
              <w:t xml:space="preserve">Termin, do którego nastąpi przeniesienie prawa własności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14:paraId="2ACCA26A" w14:textId="650C7942" w:rsidR="00B569C0" w:rsidRDefault="00861F37">
            <w:pPr>
              <w:ind w:left="2"/>
            </w:pPr>
            <w:r>
              <w:rPr>
                <w:rFonts w:ascii="Times New Roman" w:eastAsia="Times New Roman" w:hAnsi="Times New Roman" w:cs="Times New Roman"/>
                <w:sz w:val="20"/>
              </w:rPr>
              <w:t xml:space="preserve"> </w:t>
            </w:r>
            <w:r w:rsidR="001458F3">
              <w:rPr>
                <w:sz w:val="18"/>
              </w:rPr>
              <w:t>NIE DOTYCZY</w:t>
            </w:r>
          </w:p>
        </w:tc>
      </w:tr>
    </w:tbl>
    <w:p w14:paraId="43C630DE" w14:textId="77777777" w:rsidR="00B569C0" w:rsidRDefault="00861F37">
      <w:pPr>
        <w:spacing w:after="21"/>
      </w:pPr>
      <w:r>
        <w:rPr>
          <w:rFonts w:ascii="Times New Roman" w:eastAsia="Times New Roman" w:hAnsi="Times New Roman" w:cs="Times New Roman"/>
          <w:b/>
          <w:sz w:val="20"/>
        </w:rPr>
        <w:t xml:space="preserve"> </w:t>
      </w:r>
    </w:p>
    <w:p w14:paraId="254D8EF0" w14:textId="77777777" w:rsidR="00B569C0" w:rsidRDefault="00861F37">
      <w:pPr>
        <w:spacing w:after="124"/>
        <w:ind w:right="1"/>
        <w:jc w:val="right"/>
      </w:pPr>
      <w:r>
        <w:rPr>
          <w:rFonts w:ascii="Times New Roman" w:eastAsia="Times New Roman" w:hAnsi="Times New Roman" w:cs="Times New Roman"/>
          <w:b/>
          <w:sz w:val="20"/>
        </w:rPr>
        <w:t xml:space="preserve">Podpis dewelopera albo osoby upoważnionej do reprezentacji dewelopera </w:t>
      </w:r>
    </w:p>
    <w:p w14:paraId="2B71624F" w14:textId="77777777" w:rsidR="00B569C0" w:rsidRDefault="00861F37">
      <w:pPr>
        <w:spacing w:after="0" w:line="387" w:lineRule="auto"/>
        <w:ind w:left="-15" w:firstLine="7567"/>
      </w:pPr>
      <w:r>
        <w:rPr>
          <w:rFonts w:ascii="Times New Roman" w:eastAsia="Times New Roman" w:hAnsi="Times New Roman" w:cs="Times New Roman"/>
          <w:b/>
          <w:sz w:val="20"/>
        </w:rPr>
        <w:lastRenderedPageBreak/>
        <w:t xml:space="preserve">..............................................  </w:t>
      </w:r>
      <w:r>
        <w:rPr>
          <w:noProof/>
        </w:rPr>
        <mc:AlternateContent>
          <mc:Choice Requires="wpg">
            <w:drawing>
              <wp:inline distT="0" distB="0" distL="0" distR="0" wp14:anchorId="2D6B0960" wp14:editId="7E537CB1">
                <wp:extent cx="6235700" cy="13970"/>
                <wp:effectExtent l="0" t="0" r="0" b="0"/>
                <wp:docPr id="26606" name="Group 26606"/>
                <wp:cNvGraphicFramePr/>
                <a:graphic xmlns:a="http://schemas.openxmlformats.org/drawingml/2006/main">
                  <a:graphicData uri="http://schemas.microsoft.com/office/word/2010/wordprocessingGroup">
                    <wpg:wgp>
                      <wpg:cNvGrpSpPr/>
                      <wpg:grpSpPr>
                        <a:xfrm>
                          <a:off x="0" y="0"/>
                          <a:ext cx="6235700" cy="13970"/>
                          <a:chOff x="0" y="0"/>
                          <a:chExt cx="6235700" cy="13970"/>
                        </a:xfrm>
                      </wpg:grpSpPr>
                      <wps:wsp>
                        <wps:cNvPr id="3158" name="Shape 3158"/>
                        <wps:cNvSpPr/>
                        <wps:spPr>
                          <a:xfrm>
                            <a:off x="0" y="0"/>
                            <a:ext cx="6235700" cy="13970"/>
                          </a:xfrm>
                          <a:custGeom>
                            <a:avLst/>
                            <a:gdLst/>
                            <a:ahLst/>
                            <a:cxnLst/>
                            <a:rect l="0" t="0" r="0" b="0"/>
                            <a:pathLst>
                              <a:path w="6235700" h="13970">
                                <a:moveTo>
                                  <a:pt x="0" y="13970"/>
                                </a:moveTo>
                                <a:lnTo>
                                  <a:pt x="623570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606" style="width:491pt;height:1.10004pt;mso-position-horizontal-relative:char;mso-position-vertical-relative:line" coordsize="62357,139">
                <v:shape id="Shape 3158" style="position:absolute;width:62357;height:139;left:0;top:0;" coordsize="6235700,13970" path="m0,13970l6235700,0">
                  <v:stroke weight="2.25pt" endcap="flat" joinstyle="round" on="true" color="#000000"/>
                  <v:fill on="false" color="#000000" opacity="0"/>
                </v:shape>
              </v:group>
            </w:pict>
          </mc:Fallback>
        </mc:AlternateContent>
      </w:r>
    </w:p>
    <w:p w14:paraId="37D5315D" w14:textId="77777777" w:rsidR="00B569C0" w:rsidRDefault="00861F37">
      <w:pPr>
        <w:spacing w:after="100"/>
        <w:ind w:left="-5" w:hanging="10"/>
      </w:pPr>
      <w:r>
        <w:rPr>
          <w:rFonts w:ascii="Times New Roman" w:eastAsia="Times New Roman" w:hAnsi="Times New Roman" w:cs="Times New Roman"/>
          <w:b/>
          <w:sz w:val="20"/>
        </w:rPr>
        <w:t xml:space="preserve">Załączniki: </w:t>
      </w:r>
    </w:p>
    <w:p w14:paraId="08D38D43" w14:textId="77777777" w:rsidR="00B569C0" w:rsidRDefault="00861F37">
      <w:pPr>
        <w:numPr>
          <w:ilvl w:val="0"/>
          <w:numId w:val="8"/>
        </w:numPr>
        <w:spacing w:after="63" w:line="248" w:lineRule="auto"/>
        <w:ind w:right="2" w:hanging="284"/>
        <w:jc w:val="both"/>
      </w:pPr>
      <w:r>
        <w:rPr>
          <w:rFonts w:ascii="Times New Roman" w:eastAsia="Times New Roman" w:hAnsi="Times New Roman" w:cs="Times New Roman"/>
          <w:sz w:val="20"/>
        </w:rPr>
        <w:t xml:space="preserve">Rzut kondygnacji z zaznaczeniem lokalu mieszkalnego. </w:t>
      </w:r>
    </w:p>
    <w:p w14:paraId="36DEF9F7" w14:textId="77777777" w:rsidR="00B569C0" w:rsidRDefault="00861F37">
      <w:pPr>
        <w:numPr>
          <w:ilvl w:val="0"/>
          <w:numId w:val="8"/>
        </w:numPr>
        <w:spacing w:after="27" w:line="248" w:lineRule="auto"/>
        <w:ind w:right="2" w:hanging="284"/>
        <w:jc w:val="both"/>
      </w:pPr>
      <w:r>
        <w:rPr>
          <w:rFonts w:ascii="Times New Roman" w:eastAsia="Times New Roman" w:hAnsi="Times New Roman" w:cs="Times New Roman"/>
          <w:sz w:val="20"/>
        </w:rPr>
        <w:t xml:space="preserve">Wzór umowy deweloperskiej lub umowy, o której mowa w art. 2 ust. 1 pkt 2, 3 lub 5 ustawy z dnia 20 maja 2021 r. </w:t>
      </w:r>
    </w:p>
    <w:p w14:paraId="23283C2B" w14:textId="77777777" w:rsidR="00B569C0" w:rsidRDefault="00861F37">
      <w:pPr>
        <w:spacing w:after="47"/>
        <w:ind w:right="1"/>
        <w:jc w:val="right"/>
      </w:pPr>
      <w:r>
        <w:rPr>
          <w:rFonts w:ascii="Times New Roman" w:eastAsia="Times New Roman" w:hAnsi="Times New Roman" w:cs="Times New Roman"/>
          <w:sz w:val="20"/>
        </w:rPr>
        <w:t xml:space="preserve">o ochronie praw nabywcy lokalu mieszkalnego lub domu jednorodzinnego oraz Deweloperskim Funduszu Gwarancyjnym. </w:t>
      </w:r>
    </w:p>
    <w:p w14:paraId="59990361" w14:textId="77777777" w:rsidR="00B569C0" w:rsidRPr="00247940" w:rsidRDefault="00861F37">
      <w:pPr>
        <w:numPr>
          <w:ilvl w:val="0"/>
          <w:numId w:val="8"/>
        </w:numPr>
        <w:spacing w:after="69" w:line="248" w:lineRule="auto"/>
        <w:ind w:right="2" w:hanging="284"/>
        <w:jc w:val="both"/>
      </w:pPr>
      <w:r>
        <w:rPr>
          <w:rFonts w:ascii="Times New Roman" w:eastAsia="Times New Roman" w:hAnsi="Times New Roman" w:cs="Times New Roman"/>
          <w:sz w:val="20"/>
        </w:rPr>
        <w:t xml:space="preserve">Szkic koncepcji zagospodarowania terenu inwestycji i jego otoczenia z zaznaczeniem budynku oraz istotnych uwarunkowań lokalizacji inwestycji wynikających z istniejącego stanu użytkowania terenów sąsiednich (np. z funkcji terenu, stref ochronnych, uciążliwości). </w:t>
      </w:r>
    </w:p>
    <w:p w14:paraId="1176F43D" w14:textId="3EC625BF" w:rsidR="00247940" w:rsidRDefault="00247940">
      <w:pPr>
        <w:numPr>
          <w:ilvl w:val="0"/>
          <w:numId w:val="8"/>
        </w:numPr>
        <w:spacing w:after="69" w:line="248" w:lineRule="auto"/>
        <w:ind w:right="2" w:hanging="284"/>
        <w:jc w:val="both"/>
      </w:pPr>
      <w:r>
        <w:rPr>
          <w:rFonts w:ascii="Times New Roman" w:eastAsia="Times New Roman" w:hAnsi="Times New Roman" w:cs="Times New Roman"/>
          <w:sz w:val="20"/>
        </w:rPr>
        <w:t>Technologia wykonania</w:t>
      </w:r>
    </w:p>
    <w:p w14:paraId="5E237E32" w14:textId="77777777" w:rsidR="00B569C0" w:rsidRDefault="00861F37">
      <w:pPr>
        <w:spacing w:after="0"/>
        <w:rPr>
          <w:noProof/>
        </w:rPr>
      </w:pPr>
      <w:r>
        <w:rPr>
          <w:rFonts w:ascii="Times New Roman" w:eastAsia="Times New Roman" w:hAnsi="Times New Roman" w:cs="Times New Roman"/>
          <w:sz w:val="20"/>
        </w:rPr>
        <w:t xml:space="preserve"> </w:t>
      </w:r>
      <w:r>
        <w:rPr>
          <w:noProof/>
        </w:rPr>
        <mc:AlternateContent>
          <mc:Choice Requires="wpg">
            <w:drawing>
              <wp:inline distT="0" distB="0" distL="0" distR="0" wp14:anchorId="63E383D1" wp14:editId="2A44C9F6">
                <wp:extent cx="6250940" cy="28575"/>
                <wp:effectExtent l="0" t="0" r="0" b="0"/>
                <wp:docPr id="26607" name="Group 26607"/>
                <wp:cNvGraphicFramePr/>
                <a:graphic xmlns:a="http://schemas.openxmlformats.org/drawingml/2006/main">
                  <a:graphicData uri="http://schemas.microsoft.com/office/word/2010/wordprocessingGroup">
                    <wpg:wgp>
                      <wpg:cNvGrpSpPr/>
                      <wpg:grpSpPr>
                        <a:xfrm>
                          <a:off x="0" y="0"/>
                          <a:ext cx="6250940" cy="28575"/>
                          <a:chOff x="0" y="0"/>
                          <a:chExt cx="6250940" cy="28575"/>
                        </a:xfrm>
                      </wpg:grpSpPr>
                      <wps:wsp>
                        <wps:cNvPr id="3159" name="Shape 3159"/>
                        <wps:cNvSpPr/>
                        <wps:spPr>
                          <a:xfrm>
                            <a:off x="0" y="0"/>
                            <a:ext cx="6250940" cy="0"/>
                          </a:xfrm>
                          <a:custGeom>
                            <a:avLst/>
                            <a:gdLst/>
                            <a:ahLst/>
                            <a:cxnLst/>
                            <a:rect l="0" t="0" r="0" b="0"/>
                            <a:pathLst>
                              <a:path w="6250940">
                                <a:moveTo>
                                  <a:pt x="0" y="0"/>
                                </a:moveTo>
                                <a:lnTo>
                                  <a:pt x="625094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607" style="width:492.2pt;height:2.25pt;mso-position-horizontal-relative:char;mso-position-vertical-relative:line" coordsize="62509,285">
                <v:shape id="Shape 3159" style="position:absolute;width:62509;height:0;left:0;top:0;" coordsize="6250940,0" path="m0,0l6250940,0">
                  <v:stroke weight="2.25pt" endcap="flat" joinstyle="round" on="true" color="#000000"/>
                  <v:fill on="false" color="#000000" opacity="0"/>
                </v:shape>
              </v:group>
            </w:pict>
          </mc:Fallback>
        </mc:AlternateContent>
      </w:r>
    </w:p>
    <w:p w14:paraId="6AC6E8E3" w14:textId="77777777" w:rsidR="00552332" w:rsidRPr="00552332" w:rsidRDefault="00552332" w:rsidP="00552332"/>
    <w:p w14:paraId="3BCE7EBC" w14:textId="77777777" w:rsidR="00552332" w:rsidRPr="00552332" w:rsidRDefault="00552332" w:rsidP="00552332"/>
    <w:p w14:paraId="7A60283F" w14:textId="77777777" w:rsidR="00552332" w:rsidRPr="00552332" w:rsidRDefault="00552332" w:rsidP="00552332"/>
    <w:p w14:paraId="2F755697" w14:textId="77777777" w:rsidR="00552332" w:rsidRPr="00552332" w:rsidRDefault="00552332" w:rsidP="00552332"/>
    <w:p w14:paraId="46D40CB6" w14:textId="77777777" w:rsidR="00552332" w:rsidRPr="00552332" w:rsidRDefault="00552332" w:rsidP="00552332"/>
    <w:p w14:paraId="0842B400" w14:textId="77777777" w:rsidR="00552332" w:rsidRPr="00552332" w:rsidRDefault="00552332" w:rsidP="00552332"/>
    <w:p w14:paraId="5B8572FA" w14:textId="77777777" w:rsidR="00552332" w:rsidRPr="00552332" w:rsidRDefault="00552332" w:rsidP="00552332"/>
    <w:p w14:paraId="67797D50" w14:textId="77777777" w:rsidR="00552332" w:rsidRPr="00552332" w:rsidRDefault="00552332" w:rsidP="00552332"/>
    <w:p w14:paraId="571B01C7" w14:textId="77777777" w:rsidR="00552332" w:rsidRPr="00552332" w:rsidRDefault="00552332" w:rsidP="00552332"/>
    <w:p w14:paraId="622DAD78" w14:textId="77777777" w:rsidR="00552332" w:rsidRPr="00552332" w:rsidRDefault="00552332" w:rsidP="00552332"/>
    <w:p w14:paraId="6E89BBB2" w14:textId="77777777" w:rsidR="00552332" w:rsidRPr="00552332" w:rsidRDefault="00552332" w:rsidP="00552332"/>
    <w:p w14:paraId="57A0846F" w14:textId="77777777" w:rsidR="00552332" w:rsidRPr="00552332" w:rsidRDefault="00552332" w:rsidP="00552332"/>
    <w:p w14:paraId="1F64F02A" w14:textId="77777777" w:rsidR="00552332" w:rsidRPr="00552332" w:rsidRDefault="00552332" w:rsidP="00552332"/>
    <w:p w14:paraId="0213675B" w14:textId="77777777" w:rsidR="00552332" w:rsidRDefault="00552332" w:rsidP="00552332">
      <w:pPr>
        <w:rPr>
          <w:noProof/>
        </w:rPr>
      </w:pPr>
    </w:p>
    <w:p w14:paraId="2955FB1A" w14:textId="628ED961" w:rsidR="00552332" w:rsidRDefault="00552332" w:rsidP="00552332">
      <w:pPr>
        <w:tabs>
          <w:tab w:val="left" w:pos="3060"/>
        </w:tabs>
      </w:pPr>
      <w:r>
        <w:tab/>
      </w:r>
    </w:p>
    <w:p w14:paraId="44B321B2" w14:textId="77777777" w:rsidR="00552332" w:rsidRDefault="00552332" w:rsidP="00552332">
      <w:pPr>
        <w:tabs>
          <w:tab w:val="left" w:pos="3060"/>
        </w:tabs>
      </w:pPr>
    </w:p>
    <w:p w14:paraId="25397F59" w14:textId="77777777" w:rsidR="00552332" w:rsidRDefault="00552332" w:rsidP="00552332">
      <w:pPr>
        <w:tabs>
          <w:tab w:val="left" w:pos="3060"/>
        </w:tabs>
      </w:pPr>
    </w:p>
    <w:p w14:paraId="41B33248" w14:textId="77777777" w:rsidR="00552332" w:rsidRDefault="00552332" w:rsidP="00552332">
      <w:pPr>
        <w:tabs>
          <w:tab w:val="left" w:pos="3060"/>
        </w:tabs>
      </w:pPr>
    </w:p>
    <w:p w14:paraId="241EC6BE" w14:textId="77777777" w:rsidR="00552332" w:rsidRDefault="00552332" w:rsidP="00552332">
      <w:pPr>
        <w:tabs>
          <w:tab w:val="left" w:pos="3060"/>
        </w:tabs>
      </w:pPr>
    </w:p>
    <w:p w14:paraId="66D45110" w14:textId="77777777" w:rsidR="00552332" w:rsidRDefault="00552332" w:rsidP="00552332">
      <w:pPr>
        <w:tabs>
          <w:tab w:val="left" w:pos="3060"/>
        </w:tabs>
      </w:pPr>
    </w:p>
    <w:p w14:paraId="2158F403" w14:textId="77777777" w:rsidR="00552332" w:rsidRDefault="00552332" w:rsidP="00552332">
      <w:pPr>
        <w:tabs>
          <w:tab w:val="left" w:pos="3060"/>
        </w:tabs>
      </w:pPr>
    </w:p>
    <w:p w14:paraId="4A4C658E" w14:textId="77777777" w:rsidR="00552332" w:rsidRDefault="00552332" w:rsidP="00552332">
      <w:pPr>
        <w:tabs>
          <w:tab w:val="left" w:pos="3060"/>
        </w:tabs>
      </w:pPr>
    </w:p>
    <w:p w14:paraId="1D2985F7" w14:textId="77777777" w:rsidR="00552332" w:rsidRDefault="00552332" w:rsidP="00552332">
      <w:pPr>
        <w:tabs>
          <w:tab w:val="left" w:pos="3060"/>
        </w:tabs>
      </w:pPr>
    </w:p>
    <w:p w14:paraId="26211F08" w14:textId="77777777" w:rsidR="00552332" w:rsidRDefault="00552332" w:rsidP="00552332">
      <w:pPr>
        <w:tabs>
          <w:tab w:val="left" w:pos="3060"/>
        </w:tabs>
      </w:pPr>
    </w:p>
    <w:p w14:paraId="04CB9F4B" w14:textId="77777777" w:rsidR="00552332" w:rsidRDefault="00552332" w:rsidP="00552332">
      <w:pPr>
        <w:tabs>
          <w:tab w:val="left" w:pos="3060"/>
        </w:tabs>
      </w:pPr>
    </w:p>
    <w:p w14:paraId="156BE367" w14:textId="014C99EE" w:rsidR="001C62DC" w:rsidRPr="00C877BC" w:rsidRDefault="001C62DC" w:rsidP="001C62DC">
      <w:pPr>
        <w:pStyle w:val="Tekstpodstawowy"/>
        <w:tabs>
          <w:tab w:val="right" w:pos="10210"/>
        </w:tabs>
        <w:spacing w:before="5"/>
        <w:rPr>
          <w:b/>
          <w:bCs/>
          <w:sz w:val="22"/>
        </w:rPr>
      </w:pPr>
      <w:r w:rsidRPr="00C877BC">
        <w:rPr>
          <w:b/>
          <w:bCs/>
          <w:sz w:val="22"/>
        </w:rPr>
        <w:t>Załącznik nr 4 do prospektu informacyjnego inwestycji „</w:t>
      </w:r>
      <w:r w:rsidR="00284E86">
        <w:rPr>
          <w:b/>
          <w:bCs/>
          <w:sz w:val="22"/>
        </w:rPr>
        <w:t xml:space="preserve">NOVA </w:t>
      </w:r>
      <w:proofErr w:type="spellStart"/>
      <w:r w:rsidR="00284E86">
        <w:rPr>
          <w:b/>
          <w:bCs/>
          <w:sz w:val="22"/>
        </w:rPr>
        <w:t>Krzyszkowicka</w:t>
      </w:r>
      <w:proofErr w:type="spellEnd"/>
      <w:r w:rsidRPr="00C877BC">
        <w:rPr>
          <w:b/>
          <w:bCs/>
          <w:sz w:val="22"/>
        </w:rPr>
        <w:t>”</w:t>
      </w:r>
    </w:p>
    <w:p w14:paraId="66FF910D" w14:textId="77777777" w:rsidR="001C62DC" w:rsidRPr="00C877BC" w:rsidRDefault="001C62DC" w:rsidP="001C62DC">
      <w:pPr>
        <w:pStyle w:val="Tekstpodstawowy"/>
        <w:tabs>
          <w:tab w:val="right" w:pos="10210"/>
        </w:tabs>
        <w:spacing w:before="5"/>
        <w:rPr>
          <w:b/>
          <w:bCs/>
          <w:sz w:val="22"/>
        </w:rPr>
      </w:pPr>
    </w:p>
    <w:p w14:paraId="756C871F" w14:textId="77777777" w:rsidR="001C62DC" w:rsidRPr="00C877BC" w:rsidRDefault="001C62DC" w:rsidP="001C62DC">
      <w:pPr>
        <w:pStyle w:val="Tekstpodstawowy"/>
        <w:tabs>
          <w:tab w:val="right" w:pos="10210"/>
        </w:tabs>
        <w:spacing w:before="5"/>
        <w:rPr>
          <w:b/>
          <w:bCs/>
          <w:sz w:val="22"/>
        </w:rPr>
      </w:pPr>
      <w:r w:rsidRPr="00C877BC">
        <w:rPr>
          <w:b/>
          <w:bCs/>
          <w:sz w:val="22"/>
        </w:rPr>
        <w:t>TECHNOLOGIA WYKONANIA:</w:t>
      </w:r>
    </w:p>
    <w:p w14:paraId="5F88A393" w14:textId="464BE9C0" w:rsidR="001C62DC" w:rsidRPr="001F2FC6" w:rsidRDefault="0092476C" w:rsidP="001C62DC">
      <w:pPr>
        <w:pStyle w:val="Akapitzlist"/>
        <w:numPr>
          <w:ilvl w:val="0"/>
          <w:numId w:val="12"/>
        </w:numPr>
        <w:spacing w:line="283" w:lineRule="auto"/>
        <w:ind w:right="120"/>
        <w:rPr>
          <w:bCs/>
        </w:rPr>
      </w:pPr>
      <w:r>
        <w:rPr>
          <w:bCs/>
        </w:rPr>
        <w:t xml:space="preserve">Płyta fundamentowa na </w:t>
      </w:r>
      <w:r w:rsidR="000D5738">
        <w:rPr>
          <w:bCs/>
        </w:rPr>
        <w:t>mikro palach</w:t>
      </w:r>
      <w:r>
        <w:rPr>
          <w:bCs/>
        </w:rPr>
        <w:t xml:space="preserve"> </w:t>
      </w:r>
    </w:p>
    <w:p w14:paraId="12BE1371" w14:textId="4592841A" w:rsidR="006D69F3" w:rsidRDefault="001C62DC" w:rsidP="001C62DC">
      <w:pPr>
        <w:pStyle w:val="Akapitzlist"/>
        <w:numPr>
          <w:ilvl w:val="0"/>
          <w:numId w:val="12"/>
        </w:numPr>
        <w:spacing w:line="283" w:lineRule="auto"/>
        <w:ind w:right="120"/>
        <w:rPr>
          <w:bCs/>
        </w:rPr>
      </w:pPr>
      <w:r w:rsidRPr="001F2FC6">
        <w:rPr>
          <w:bCs/>
        </w:rPr>
        <w:t xml:space="preserve">Ściany zewnętrzne murowane dwuwarstwowe z pustaków ceramicznych </w:t>
      </w:r>
      <w:r w:rsidR="00245916">
        <w:rPr>
          <w:bCs/>
        </w:rPr>
        <w:t>Wienerberger</w:t>
      </w:r>
      <w:r w:rsidR="001B1FA3">
        <w:rPr>
          <w:bCs/>
        </w:rPr>
        <w:t xml:space="preserve"> </w:t>
      </w:r>
      <w:proofErr w:type="spellStart"/>
      <w:r w:rsidR="001B1FA3">
        <w:rPr>
          <w:bCs/>
        </w:rPr>
        <w:t>dryfix</w:t>
      </w:r>
      <w:proofErr w:type="spellEnd"/>
      <w:r w:rsidR="00245916">
        <w:rPr>
          <w:bCs/>
        </w:rPr>
        <w:t xml:space="preserve"> </w:t>
      </w:r>
      <w:r w:rsidR="001B1FA3">
        <w:rPr>
          <w:bCs/>
        </w:rPr>
        <w:t>W klas</w:t>
      </w:r>
      <w:r w:rsidR="00245916">
        <w:rPr>
          <w:bCs/>
        </w:rPr>
        <w:t>a15</w:t>
      </w:r>
      <w:r w:rsidRPr="001F2FC6">
        <w:rPr>
          <w:bCs/>
        </w:rPr>
        <w:t xml:space="preserve"> o grubości 25cm, </w:t>
      </w:r>
    </w:p>
    <w:p w14:paraId="17F82D39" w14:textId="6E34D084" w:rsidR="001C62DC" w:rsidRPr="001F2FC6" w:rsidRDefault="001C62DC" w:rsidP="001C62DC">
      <w:pPr>
        <w:pStyle w:val="Akapitzlist"/>
        <w:numPr>
          <w:ilvl w:val="0"/>
          <w:numId w:val="12"/>
        </w:numPr>
        <w:spacing w:line="283" w:lineRule="auto"/>
        <w:ind w:right="120"/>
        <w:rPr>
          <w:bCs/>
        </w:rPr>
      </w:pPr>
      <w:r w:rsidRPr="001F2FC6">
        <w:rPr>
          <w:bCs/>
        </w:rPr>
        <w:t>ocieplenie ścian zewnętrznych: styropian fasadowy grubości 20 cm,</w:t>
      </w:r>
      <w:r w:rsidR="001453ED">
        <w:rPr>
          <w:bCs/>
        </w:rPr>
        <w:t xml:space="preserve"> </w:t>
      </w:r>
      <w:r w:rsidR="00AA0DB0">
        <w:rPr>
          <w:bCs/>
        </w:rPr>
        <w:t xml:space="preserve">poniżej terenu </w:t>
      </w:r>
      <w:proofErr w:type="spellStart"/>
      <w:r w:rsidR="001453ED">
        <w:rPr>
          <w:bCs/>
        </w:rPr>
        <w:t>styrodur</w:t>
      </w:r>
      <w:proofErr w:type="spellEnd"/>
      <w:r w:rsidR="001453ED">
        <w:rPr>
          <w:bCs/>
        </w:rPr>
        <w:t xml:space="preserve"> gr 20cm</w:t>
      </w:r>
    </w:p>
    <w:p w14:paraId="26EBAFFC" w14:textId="636FA5E1" w:rsidR="001C62DC" w:rsidRPr="001F2FC6" w:rsidRDefault="001C62DC" w:rsidP="001C62DC">
      <w:pPr>
        <w:pStyle w:val="Akapitzlist"/>
        <w:numPr>
          <w:ilvl w:val="0"/>
          <w:numId w:val="12"/>
        </w:numPr>
        <w:spacing w:line="283" w:lineRule="auto"/>
        <w:ind w:right="120"/>
        <w:rPr>
          <w:bCs/>
        </w:rPr>
      </w:pPr>
      <w:r w:rsidRPr="001F2FC6">
        <w:rPr>
          <w:bCs/>
        </w:rPr>
        <w:t xml:space="preserve">Ściany działowe: murowane z bloczków ceramicznych </w:t>
      </w:r>
      <w:r w:rsidR="008E06EC">
        <w:rPr>
          <w:bCs/>
        </w:rPr>
        <w:t xml:space="preserve">Wienerberger </w:t>
      </w:r>
      <w:proofErr w:type="spellStart"/>
      <w:r w:rsidR="008E06EC">
        <w:rPr>
          <w:bCs/>
        </w:rPr>
        <w:t>dryfix</w:t>
      </w:r>
      <w:proofErr w:type="spellEnd"/>
      <w:r w:rsidR="008E06EC">
        <w:rPr>
          <w:bCs/>
        </w:rPr>
        <w:t xml:space="preserve"> W klasa15</w:t>
      </w:r>
      <w:r w:rsidRPr="001F2FC6">
        <w:rPr>
          <w:bCs/>
        </w:rPr>
        <w:t xml:space="preserve"> o grubości 11,5 cm,</w:t>
      </w:r>
    </w:p>
    <w:p w14:paraId="3ACB2CF1" w14:textId="7BB1C5DE" w:rsidR="001C62DC" w:rsidRPr="001F2FC6" w:rsidRDefault="001C62DC" w:rsidP="001C62DC">
      <w:pPr>
        <w:pStyle w:val="Akapitzlist"/>
        <w:numPr>
          <w:ilvl w:val="0"/>
          <w:numId w:val="12"/>
        </w:numPr>
        <w:spacing w:line="283" w:lineRule="auto"/>
        <w:ind w:right="120"/>
        <w:rPr>
          <w:bCs/>
        </w:rPr>
      </w:pPr>
      <w:r w:rsidRPr="001F2FC6">
        <w:rPr>
          <w:bCs/>
        </w:rPr>
        <w:t>Stropy</w:t>
      </w:r>
      <w:r w:rsidR="00C05567">
        <w:rPr>
          <w:bCs/>
        </w:rPr>
        <w:t xml:space="preserve"> i k</w:t>
      </w:r>
      <w:r w:rsidR="003B499F">
        <w:rPr>
          <w:bCs/>
        </w:rPr>
        <w:t xml:space="preserve">latki </w:t>
      </w:r>
      <w:r w:rsidR="00C05567">
        <w:rPr>
          <w:bCs/>
        </w:rPr>
        <w:t xml:space="preserve"> schodowe </w:t>
      </w:r>
      <w:r w:rsidRPr="001F2FC6">
        <w:rPr>
          <w:bCs/>
        </w:rPr>
        <w:t xml:space="preserve"> żelbetowe,</w:t>
      </w:r>
    </w:p>
    <w:p w14:paraId="1F87DD97" w14:textId="4EB6799C" w:rsidR="001C62DC" w:rsidRPr="001F2FC6" w:rsidRDefault="001C62DC" w:rsidP="001C62DC">
      <w:pPr>
        <w:pStyle w:val="Akapitzlist"/>
        <w:numPr>
          <w:ilvl w:val="0"/>
          <w:numId w:val="12"/>
        </w:numPr>
        <w:spacing w:line="283" w:lineRule="auto"/>
        <w:ind w:right="120"/>
        <w:rPr>
          <w:bCs/>
        </w:rPr>
      </w:pPr>
      <w:r w:rsidRPr="001F2FC6">
        <w:rPr>
          <w:bCs/>
        </w:rPr>
        <w:t xml:space="preserve">Lukarny:  </w:t>
      </w:r>
      <w:r w:rsidR="00D36782">
        <w:rPr>
          <w:bCs/>
        </w:rPr>
        <w:t>wykończone blachą</w:t>
      </w:r>
      <w:r w:rsidR="0004029A">
        <w:rPr>
          <w:bCs/>
        </w:rPr>
        <w:t xml:space="preserve"> stalową ,,klik”</w:t>
      </w:r>
    </w:p>
    <w:p w14:paraId="3A4C9AA2" w14:textId="7AA01FF8" w:rsidR="001C62DC" w:rsidRPr="001F2FC6" w:rsidRDefault="001C62DC" w:rsidP="001C62DC">
      <w:pPr>
        <w:pStyle w:val="Akapitzlist"/>
        <w:numPr>
          <w:ilvl w:val="0"/>
          <w:numId w:val="12"/>
        </w:numPr>
        <w:spacing w:line="283" w:lineRule="auto"/>
        <w:ind w:right="120"/>
        <w:rPr>
          <w:bCs/>
        </w:rPr>
      </w:pPr>
      <w:r w:rsidRPr="001F2FC6">
        <w:rPr>
          <w:bCs/>
        </w:rPr>
        <w:t>Dach: dwuspadowy, kąt nachylenia połaci 3</w:t>
      </w:r>
      <w:r w:rsidR="009A21A3">
        <w:rPr>
          <w:bCs/>
        </w:rPr>
        <w:t>5º</w:t>
      </w:r>
      <w:r w:rsidRPr="001F2FC6">
        <w:rPr>
          <w:bCs/>
        </w:rPr>
        <w:t>, konstrukcja drewniana, pokrycie dachówką, ocieplenie dachu: wełna mineralna grubość 30 cm,</w:t>
      </w:r>
    </w:p>
    <w:p w14:paraId="27D51C35" w14:textId="795CA5E8" w:rsidR="001C62DC" w:rsidRPr="001F2FC6" w:rsidRDefault="001C62DC" w:rsidP="001C62DC">
      <w:pPr>
        <w:pStyle w:val="Akapitzlist"/>
        <w:numPr>
          <w:ilvl w:val="0"/>
          <w:numId w:val="12"/>
        </w:numPr>
        <w:spacing w:line="283" w:lineRule="auto"/>
        <w:ind w:right="120"/>
        <w:rPr>
          <w:bCs/>
        </w:rPr>
      </w:pPr>
      <w:r w:rsidRPr="001F2FC6">
        <w:rPr>
          <w:bCs/>
        </w:rPr>
        <w:t xml:space="preserve">kominy: system kominowy </w:t>
      </w:r>
    </w:p>
    <w:p w14:paraId="35A7F18D" w14:textId="4B2B12BF" w:rsidR="001C62DC" w:rsidRDefault="001C62DC" w:rsidP="001C62DC">
      <w:pPr>
        <w:pStyle w:val="Tekstpodstawowy"/>
        <w:numPr>
          <w:ilvl w:val="0"/>
          <w:numId w:val="12"/>
        </w:numPr>
        <w:tabs>
          <w:tab w:val="right" w:pos="10210"/>
        </w:tabs>
        <w:rPr>
          <w:bCs/>
          <w:sz w:val="22"/>
          <w:szCs w:val="22"/>
          <w:shd w:val="clear" w:color="auto" w:fill="FFFFFF"/>
        </w:rPr>
      </w:pPr>
      <w:r w:rsidRPr="00C877BC">
        <w:rPr>
          <w:bCs/>
          <w:sz w:val="22"/>
          <w:szCs w:val="22"/>
        </w:rPr>
        <w:t>balkony: płyty żelbetowe</w:t>
      </w:r>
      <w:r w:rsidR="00ED14E9">
        <w:rPr>
          <w:bCs/>
          <w:sz w:val="22"/>
          <w:szCs w:val="22"/>
        </w:rPr>
        <w:t xml:space="preserve"> na łącznikach balkonowych ,,</w:t>
      </w:r>
      <w:proofErr w:type="spellStart"/>
      <w:r w:rsidR="00ED14E9">
        <w:rPr>
          <w:bCs/>
          <w:sz w:val="22"/>
          <w:szCs w:val="22"/>
        </w:rPr>
        <w:t>izokorby</w:t>
      </w:r>
      <w:proofErr w:type="spellEnd"/>
      <w:r w:rsidR="00ED14E9">
        <w:rPr>
          <w:bCs/>
          <w:sz w:val="22"/>
          <w:szCs w:val="22"/>
        </w:rPr>
        <w:t>”</w:t>
      </w:r>
      <w:r w:rsidRPr="00C877BC">
        <w:rPr>
          <w:bCs/>
          <w:sz w:val="22"/>
          <w:szCs w:val="22"/>
          <w:shd w:val="clear" w:color="auto" w:fill="FFFFFF"/>
        </w:rPr>
        <w:t xml:space="preserve">  </w:t>
      </w:r>
    </w:p>
    <w:p w14:paraId="06EA6EF7" w14:textId="77777777" w:rsidR="001C62DC" w:rsidRDefault="001C62DC" w:rsidP="001C62DC">
      <w:pPr>
        <w:pStyle w:val="Tekstpodstawowy"/>
        <w:tabs>
          <w:tab w:val="right" w:pos="10210"/>
        </w:tabs>
        <w:spacing w:before="5"/>
        <w:rPr>
          <w:bCs/>
          <w:sz w:val="22"/>
          <w:szCs w:val="22"/>
          <w:shd w:val="clear" w:color="auto" w:fill="FFFFFF"/>
        </w:rPr>
      </w:pPr>
    </w:p>
    <w:p w14:paraId="6AAFAACE" w14:textId="77777777" w:rsidR="001C62DC" w:rsidRDefault="001C62DC" w:rsidP="001C62DC">
      <w:pPr>
        <w:pStyle w:val="TableParagraph"/>
        <w:spacing w:before="137"/>
        <w:ind w:right="172"/>
        <w:rPr>
          <w:b/>
          <w:bCs/>
          <w:sz w:val="20"/>
        </w:rPr>
      </w:pPr>
      <w:r w:rsidRPr="00C877BC">
        <w:rPr>
          <w:b/>
          <w:bCs/>
        </w:rPr>
        <w:t>STANDARD PRAC WYKOŃCZENIOWYCH W CZĘŚCI WSPÓLNEJ BUDYNKU I TERENIE WOKÓŁ NIEGO</w:t>
      </w:r>
      <w:r>
        <w:rPr>
          <w:b/>
          <w:bCs/>
          <w:sz w:val="20"/>
        </w:rPr>
        <w:t>:</w:t>
      </w:r>
    </w:p>
    <w:p w14:paraId="7038A010" w14:textId="77777777" w:rsidR="001C62DC" w:rsidRPr="00C877BC" w:rsidRDefault="001C62DC" w:rsidP="001C62DC">
      <w:pPr>
        <w:pStyle w:val="Akapitzlist"/>
        <w:widowControl/>
        <w:numPr>
          <w:ilvl w:val="0"/>
          <w:numId w:val="11"/>
        </w:numPr>
        <w:autoSpaceDE/>
        <w:autoSpaceDN/>
        <w:spacing w:line="300" w:lineRule="auto"/>
        <w:contextualSpacing/>
        <w:rPr>
          <w:bCs/>
        </w:rPr>
      </w:pPr>
      <w:r w:rsidRPr="00C877BC">
        <w:rPr>
          <w:bCs/>
        </w:rPr>
        <w:t>podjazd przy budynku: kostka betonowa</w:t>
      </w:r>
      <w:r>
        <w:rPr>
          <w:bCs/>
        </w:rPr>
        <w:t>,</w:t>
      </w:r>
    </w:p>
    <w:p w14:paraId="47616FFC" w14:textId="77777777" w:rsidR="001C62DC" w:rsidRPr="00C877BC" w:rsidRDefault="001C62DC" w:rsidP="001C62DC">
      <w:pPr>
        <w:pStyle w:val="Akapitzlist"/>
        <w:widowControl/>
        <w:numPr>
          <w:ilvl w:val="0"/>
          <w:numId w:val="11"/>
        </w:numPr>
        <w:autoSpaceDE/>
        <w:autoSpaceDN/>
        <w:spacing w:line="300" w:lineRule="auto"/>
        <w:contextualSpacing/>
        <w:rPr>
          <w:bCs/>
        </w:rPr>
      </w:pPr>
      <w:r w:rsidRPr="00C877BC">
        <w:rPr>
          <w:bCs/>
        </w:rPr>
        <w:t xml:space="preserve">teren inwestycji: zniwelowany, obsiany trawą, posadzone drzewka ozdobne; ogrodzony z trzech stron siatką, </w:t>
      </w:r>
    </w:p>
    <w:p w14:paraId="0011FF3A" w14:textId="77777777" w:rsidR="001C62DC" w:rsidRPr="00C877BC" w:rsidRDefault="001C62DC" w:rsidP="001C62DC">
      <w:pPr>
        <w:pStyle w:val="Akapitzlist"/>
        <w:widowControl/>
        <w:numPr>
          <w:ilvl w:val="0"/>
          <w:numId w:val="11"/>
        </w:numPr>
        <w:autoSpaceDE/>
        <w:autoSpaceDN/>
        <w:spacing w:line="300" w:lineRule="auto"/>
        <w:contextualSpacing/>
        <w:rPr>
          <w:bCs/>
        </w:rPr>
      </w:pPr>
      <w:r w:rsidRPr="00C877BC">
        <w:rPr>
          <w:bCs/>
        </w:rPr>
        <w:t>kanalizacja: deszczowa ze zbiornikiem na wodę opadową</w:t>
      </w:r>
      <w:r>
        <w:rPr>
          <w:bCs/>
        </w:rPr>
        <w:t>,</w:t>
      </w:r>
    </w:p>
    <w:p w14:paraId="4D78FE08" w14:textId="25F97706" w:rsidR="001C62DC" w:rsidRPr="007576F0" w:rsidRDefault="001C62DC" w:rsidP="007576F0">
      <w:pPr>
        <w:spacing w:line="300" w:lineRule="auto"/>
        <w:ind w:left="360"/>
        <w:contextualSpacing/>
        <w:rPr>
          <w:bCs/>
        </w:rPr>
      </w:pPr>
    </w:p>
    <w:p w14:paraId="35B647F5" w14:textId="77777777" w:rsidR="001C62DC" w:rsidRDefault="001C62DC" w:rsidP="001C62DC">
      <w:pPr>
        <w:pStyle w:val="TableParagraph"/>
        <w:spacing w:before="137"/>
        <w:ind w:right="172"/>
        <w:rPr>
          <w:b/>
          <w:bCs/>
          <w:sz w:val="20"/>
        </w:rPr>
      </w:pPr>
      <w:r>
        <w:rPr>
          <w:b/>
          <w:bCs/>
        </w:rPr>
        <w:t>DOSTĘPNE MEDIA W BUDYNKU</w:t>
      </w:r>
      <w:r>
        <w:rPr>
          <w:b/>
          <w:bCs/>
          <w:sz w:val="20"/>
        </w:rPr>
        <w:t>:</w:t>
      </w:r>
    </w:p>
    <w:p w14:paraId="2CF35B52" w14:textId="620B13C9" w:rsidR="001C62DC" w:rsidRPr="001F2FC6" w:rsidRDefault="001C62DC" w:rsidP="001C62DC">
      <w:pPr>
        <w:numPr>
          <w:ilvl w:val="0"/>
          <w:numId w:val="13"/>
        </w:numPr>
        <w:spacing w:after="15" w:line="256" w:lineRule="auto"/>
        <w:rPr>
          <w:rFonts w:eastAsia="Cambria"/>
          <w:bCs/>
        </w:rPr>
      </w:pPr>
      <w:r w:rsidRPr="001F2FC6">
        <w:rPr>
          <w:rFonts w:eastAsia="Cambria"/>
          <w:bCs/>
        </w:rPr>
        <w:t xml:space="preserve">instalacja C.O. </w:t>
      </w:r>
      <w:r w:rsidR="00B35724">
        <w:rPr>
          <w:rFonts w:eastAsia="Cambria"/>
          <w:bCs/>
        </w:rPr>
        <w:t>ogrzewanie podłogowe</w:t>
      </w:r>
      <w:r w:rsidRPr="001F2FC6">
        <w:rPr>
          <w:rFonts w:eastAsia="Cambria"/>
          <w:bCs/>
        </w:rPr>
        <w:t xml:space="preserve"> </w:t>
      </w:r>
    </w:p>
    <w:p w14:paraId="0F03200D" w14:textId="157F4C99" w:rsidR="001C62DC" w:rsidRPr="001F2FC6" w:rsidRDefault="002B483E" w:rsidP="001C62DC">
      <w:pPr>
        <w:numPr>
          <w:ilvl w:val="0"/>
          <w:numId w:val="13"/>
        </w:numPr>
        <w:spacing w:after="15" w:line="256" w:lineRule="auto"/>
        <w:rPr>
          <w:rFonts w:eastAsia="Cambria"/>
          <w:bCs/>
        </w:rPr>
      </w:pPr>
      <w:r>
        <w:rPr>
          <w:rFonts w:eastAsia="Cambria"/>
          <w:bCs/>
        </w:rPr>
        <w:t xml:space="preserve">piec gazowy </w:t>
      </w:r>
      <w:proofErr w:type="spellStart"/>
      <w:r>
        <w:rPr>
          <w:rFonts w:eastAsia="Cambria"/>
          <w:bCs/>
        </w:rPr>
        <w:t>DeDietrich</w:t>
      </w:r>
      <w:proofErr w:type="spellEnd"/>
      <w:r>
        <w:rPr>
          <w:rFonts w:eastAsia="Cambria"/>
          <w:bCs/>
        </w:rPr>
        <w:t xml:space="preserve"> MCR</w:t>
      </w:r>
      <w:r w:rsidR="001C62DC" w:rsidRPr="001F2FC6">
        <w:rPr>
          <w:rFonts w:eastAsia="Cambria"/>
          <w:bCs/>
        </w:rPr>
        <w:t xml:space="preserve"> </w:t>
      </w:r>
    </w:p>
    <w:p w14:paraId="05F13C3D" w14:textId="65B6C1F7" w:rsidR="001C62DC" w:rsidRPr="001F2FC6" w:rsidRDefault="001C62DC" w:rsidP="002B483E">
      <w:pPr>
        <w:spacing w:after="15" w:line="256" w:lineRule="auto"/>
        <w:ind w:left="720"/>
        <w:rPr>
          <w:rFonts w:eastAsia="Cambria"/>
          <w:bCs/>
        </w:rPr>
      </w:pPr>
      <w:r w:rsidRPr="001F2FC6">
        <w:rPr>
          <w:rFonts w:eastAsia="Cambria"/>
          <w:bCs/>
        </w:rPr>
        <w:t xml:space="preserve"> </w:t>
      </w:r>
    </w:p>
    <w:p w14:paraId="7832D05B" w14:textId="77777777" w:rsidR="000B1762" w:rsidRPr="001F2FC6" w:rsidRDefault="000B1762" w:rsidP="000B1762">
      <w:pPr>
        <w:numPr>
          <w:ilvl w:val="0"/>
          <w:numId w:val="13"/>
        </w:numPr>
        <w:spacing w:after="15" w:line="256" w:lineRule="auto"/>
        <w:rPr>
          <w:rFonts w:eastAsia="Cambria"/>
          <w:bCs/>
        </w:rPr>
      </w:pPr>
      <w:r w:rsidRPr="001F2FC6">
        <w:rPr>
          <w:rFonts w:eastAsia="Cambria"/>
          <w:bCs/>
        </w:rPr>
        <w:t xml:space="preserve">instalacja </w:t>
      </w:r>
      <w:proofErr w:type="spellStart"/>
      <w:r w:rsidRPr="001F2FC6">
        <w:rPr>
          <w:rFonts w:eastAsia="Cambria"/>
          <w:bCs/>
        </w:rPr>
        <w:t>wod-kan</w:t>
      </w:r>
      <w:proofErr w:type="spellEnd"/>
      <w:r w:rsidRPr="001F2FC6">
        <w:rPr>
          <w:rFonts w:eastAsia="Cambria"/>
          <w:bCs/>
        </w:rPr>
        <w:t xml:space="preserve">: bez baterii, białego montażu oraz innych urządzeń sanitarnych, </w:t>
      </w:r>
    </w:p>
    <w:p w14:paraId="35904E76" w14:textId="10104DFE" w:rsidR="001C62DC" w:rsidRPr="001F2FC6" w:rsidRDefault="001C62DC" w:rsidP="001C62DC">
      <w:pPr>
        <w:numPr>
          <w:ilvl w:val="0"/>
          <w:numId w:val="13"/>
        </w:numPr>
        <w:spacing w:after="15" w:line="256" w:lineRule="auto"/>
        <w:rPr>
          <w:rFonts w:eastAsia="Cambria"/>
          <w:bCs/>
        </w:rPr>
      </w:pPr>
      <w:r w:rsidRPr="001F2FC6">
        <w:rPr>
          <w:rFonts w:eastAsia="Cambria"/>
          <w:bCs/>
        </w:rPr>
        <w:t xml:space="preserve">instalacja </w:t>
      </w:r>
      <w:r w:rsidR="00E163FF">
        <w:rPr>
          <w:rFonts w:eastAsia="Cambria"/>
          <w:bCs/>
        </w:rPr>
        <w:t>wody użytkowej zimnej :zasilana z sieci miejskiej</w:t>
      </w:r>
      <w:r w:rsidRPr="001F2FC6">
        <w:rPr>
          <w:rFonts w:eastAsia="Cambria"/>
          <w:bCs/>
        </w:rPr>
        <w:t xml:space="preserve"> </w:t>
      </w:r>
    </w:p>
    <w:p w14:paraId="7C1EC7A0" w14:textId="77777777" w:rsidR="001C62DC" w:rsidRPr="001F2FC6" w:rsidRDefault="001C62DC" w:rsidP="001C62DC">
      <w:pPr>
        <w:numPr>
          <w:ilvl w:val="0"/>
          <w:numId w:val="13"/>
        </w:numPr>
        <w:spacing w:after="15" w:line="256" w:lineRule="auto"/>
        <w:rPr>
          <w:rFonts w:eastAsia="Cambria"/>
          <w:bCs/>
        </w:rPr>
      </w:pPr>
      <w:r w:rsidRPr="001F2FC6">
        <w:rPr>
          <w:rFonts w:eastAsia="Cambria"/>
          <w:bCs/>
        </w:rPr>
        <w:t xml:space="preserve">instalacja elektryczna: zasilana z sieci kablowej ZE, </w:t>
      </w:r>
    </w:p>
    <w:p w14:paraId="43DD3F42" w14:textId="77777777" w:rsidR="001C62DC" w:rsidRPr="001F2FC6" w:rsidRDefault="001C62DC" w:rsidP="001C62DC">
      <w:pPr>
        <w:numPr>
          <w:ilvl w:val="0"/>
          <w:numId w:val="13"/>
        </w:numPr>
        <w:spacing w:after="15" w:line="256" w:lineRule="auto"/>
        <w:rPr>
          <w:bCs/>
        </w:rPr>
      </w:pPr>
      <w:r w:rsidRPr="001F2FC6">
        <w:rPr>
          <w:rFonts w:eastAsia="Cambria"/>
          <w:bCs/>
        </w:rPr>
        <w:t>instalacja kanalizacyjna: podłączona do sieci miejskiej,</w:t>
      </w:r>
      <w:r w:rsidRPr="001F2FC6">
        <w:rPr>
          <w:bCs/>
        </w:rPr>
        <w:t xml:space="preserve"> </w:t>
      </w:r>
    </w:p>
    <w:p w14:paraId="19D0A3D1" w14:textId="5C9003EB" w:rsidR="001C62DC" w:rsidRPr="001F2FC6" w:rsidRDefault="001C62DC" w:rsidP="001C62DC">
      <w:pPr>
        <w:numPr>
          <w:ilvl w:val="0"/>
          <w:numId w:val="13"/>
        </w:numPr>
        <w:spacing w:after="15" w:line="256" w:lineRule="auto"/>
        <w:rPr>
          <w:rFonts w:ascii="Arial" w:hAnsi="Arial" w:cs="Arial"/>
          <w:bCs/>
          <w:sz w:val="20"/>
          <w:szCs w:val="20"/>
        </w:rPr>
      </w:pPr>
      <w:r w:rsidRPr="001F2FC6">
        <w:rPr>
          <w:rFonts w:eastAsia="Cambria"/>
          <w:bCs/>
        </w:rPr>
        <w:t>instalacja telewizyjna</w:t>
      </w:r>
      <w:r w:rsidR="00B311B9">
        <w:rPr>
          <w:rFonts w:eastAsia="Cambria"/>
          <w:bCs/>
        </w:rPr>
        <w:t xml:space="preserve"> i </w:t>
      </w:r>
      <w:r w:rsidRPr="001F2FC6">
        <w:rPr>
          <w:rFonts w:eastAsia="Cambria"/>
          <w:bCs/>
        </w:rPr>
        <w:t xml:space="preserve"> internetowa: okablowanie,</w:t>
      </w:r>
      <w:r w:rsidRPr="001F2FC6">
        <w:rPr>
          <w:bCs/>
        </w:rPr>
        <w:t xml:space="preserve"> </w:t>
      </w:r>
    </w:p>
    <w:p w14:paraId="74293E6C" w14:textId="77777777" w:rsidR="001C62DC" w:rsidRPr="00CB68BF" w:rsidRDefault="001C62DC" w:rsidP="001C62DC">
      <w:pPr>
        <w:numPr>
          <w:ilvl w:val="0"/>
          <w:numId w:val="13"/>
        </w:numPr>
        <w:spacing w:after="15" w:line="256" w:lineRule="auto"/>
        <w:rPr>
          <w:rFonts w:ascii="Arial" w:hAnsi="Arial" w:cs="Arial"/>
          <w:bCs/>
          <w:sz w:val="20"/>
          <w:szCs w:val="20"/>
        </w:rPr>
      </w:pPr>
      <w:r w:rsidRPr="001F2FC6">
        <w:rPr>
          <w:bCs/>
        </w:rPr>
        <w:t>wentylacja grawitacyjna.</w:t>
      </w:r>
    </w:p>
    <w:p w14:paraId="6049BB5F" w14:textId="727B03EF" w:rsidR="00CB68BF" w:rsidRPr="001F2FC6" w:rsidRDefault="00CB68BF" w:rsidP="001C62DC">
      <w:pPr>
        <w:numPr>
          <w:ilvl w:val="0"/>
          <w:numId w:val="13"/>
        </w:numPr>
        <w:spacing w:after="15" w:line="256" w:lineRule="auto"/>
        <w:rPr>
          <w:rFonts w:ascii="Arial" w:hAnsi="Arial" w:cs="Arial"/>
          <w:bCs/>
          <w:sz w:val="20"/>
          <w:szCs w:val="20"/>
        </w:rPr>
      </w:pPr>
      <w:r>
        <w:rPr>
          <w:bCs/>
        </w:rPr>
        <w:t>Instalacja klimatyzacji</w:t>
      </w:r>
      <w:r w:rsidR="00507823">
        <w:rPr>
          <w:bCs/>
        </w:rPr>
        <w:t xml:space="preserve"> bez urządzeń</w:t>
      </w:r>
    </w:p>
    <w:p w14:paraId="6D4CA998" w14:textId="77777777" w:rsidR="001C62DC" w:rsidRDefault="001C62DC" w:rsidP="001C62DC">
      <w:pPr>
        <w:spacing w:after="15" w:line="256" w:lineRule="auto"/>
      </w:pPr>
    </w:p>
    <w:p w14:paraId="31132FDE" w14:textId="77777777" w:rsidR="001C62DC" w:rsidRDefault="001C62DC" w:rsidP="001C62DC">
      <w:pPr>
        <w:spacing w:after="15" w:line="256" w:lineRule="auto"/>
        <w:rPr>
          <w:b/>
          <w:bCs/>
          <w:sz w:val="20"/>
        </w:rPr>
      </w:pPr>
      <w:r w:rsidRPr="001F2FC6">
        <w:rPr>
          <w:b/>
          <w:bCs/>
          <w:sz w:val="20"/>
        </w:rPr>
        <w:t>ZAKRES I STANDARD PRAC WYKOŃCZENIOWYCH:</w:t>
      </w:r>
    </w:p>
    <w:p w14:paraId="48203708" w14:textId="6058EADF"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 xml:space="preserve">tynki wewnętrzne:, tynki gipsowe </w:t>
      </w:r>
      <w:proofErr w:type="spellStart"/>
      <w:r w:rsidRPr="00E36C7B">
        <w:rPr>
          <w:bCs/>
        </w:rPr>
        <w:t>kat.III</w:t>
      </w:r>
      <w:proofErr w:type="spellEnd"/>
      <w:r w:rsidRPr="00E36C7B">
        <w:rPr>
          <w:bCs/>
        </w:rPr>
        <w:t xml:space="preserve">, ściany w pomieszczeniach mokrych </w:t>
      </w:r>
      <w:r w:rsidR="00507823">
        <w:rPr>
          <w:bCs/>
        </w:rPr>
        <w:t>-gipsowe z dopuszczeniem</w:t>
      </w:r>
      <w:r w:rsidR="00657E6B">
        <w:rPr>
          <w:bCs/>
        </w:rPr>
        <w:t xml:space="preserve"> do pomieszczeń mokrych </w:t>
      </w:r>
      <w:r w:rsidRPr="00E36C7B">
        <w:rPr>
          <w:bCs/>
        </w:rPr>
        <w:t xml:space="preserve">zacierane na ostro </w:t>
      </w:r>
      <w:r>
        <w:rPr>
          <w:bCs/>
        </w:rPr>
        <w:t>,</w:t>
      </w:r>
    </w:p>
    <w:p w14:paraId="16EC1084"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tynk elewacyjny: silikatowo-silikonowy</w:t>
      </w:r>
      <w:r>
        <w:rPr>
          <w:bCs/>
        </w:rPr>
        <w:t>,</w:t>
      </w:r>
    </w:p>
    <w:p w14:paraId="79424CED"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parapety wewnętrzne: brak</w:t>
      </w:r>
      <w:r>
        <w:rPr>
          <w:bCs/>
        </w:rPr>
        <w:t>,</w:t>
      </w:r>
    </w:p>
    <w:p w14:paraId="7F8E0A0B"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parapety zewnętrzne: blacha powlekana</w:t>
      </w:r>
      <w:r>
        <w:rPr>
          <w:bCs/>
        </w:rPr>
        <w:t>,</w:t>
      </w:r>
    </w:p>
    <w:p w14:paraId="07244235"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posadzki: we wszystkich pomieszczeniach wylewka cementowa</w:t>
      </w:r>
      <w:r>
        <w:rPr>
          <w:bCs/>
        </w:rPr>
        <w:t>,</w:t>
      </w:r>
    </w:p>
    <w:p w14:paraId="150CA8A0"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schody wewnętrzne: betonowe do indywidualnego wykończenia</w:t>
      </w:r>
      <w:r>
        <w:rPr>
          <w:bCs/>
        </w:rPr>
        <w:t>,</w:t>
      </w:r>
    </w:p>
    <w:p w14:paraId="21ADAC89" w14:textId="77777777"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balustrady zewnętrze: konstrukcja ze stali nierdzewnej, ze szklanym wypełnieniem miedzy słupkami, szkło bezpieczne</w:t>
      </w:r>
      <w:r>
        <w:rPr>
          <w:bCs/>
        </w:rPr>
        <w:t>,</w:t>
      </w:r>
    </w:p>
    <w:p w14:paraId="66E8C804" w14:textId="59BE23C2" w:rsidR="001C62DC" w:rsidRPr="00A048B8" w:rsidRDefault="001C62DC" w:rsidP="00A048B8">
      <w:pPr>
        <w:pStyle w:val="Akapitzlist"/>
        <w:widowControl/>
        <w:numPr>
          <w:ilvl w:val="0"/>
          <w:numId w:val="14"/>
        </w:numPr>
        <w:autoSpaceDE/>
        <w:autoSpaceDN/>
        <w:spacing w:line="300" w:lineRule="auto"/>
        <w:contextualSpacing/>
        <w:rPr>
          <w:bCs/>
        </w:rPr>
      </w:pPr>
      <w:r w:rsidRPr="00E36C7B">
        <w:rPr>
          <w:bCs/>
        </w:rPr>
        <w:lastRenderedPageBreak/>
        <w:t xml:space="preserve">drzwi wejściowe zewnętrzne: Gerda </w:t>
      </w:r>
    </w:p>
    <w:p w14:paraId="0B4E2F14" w14:textId="273C6375"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 xml:space="preserve">okna, drzwi balkonowe i tarasowe: PVC </w:t>
      </w:r>
      <w:r w:rsidR="00E67FF5">
        <w:rPr>
          <w:bCs/>
        </w:rPr>
        <w:t xml:space="preserve">współczynnik termiczny </w:t>
      </w:r>
      <w:proofErr w:type="spellStart"/>
      <w:r w:rsidR="00BC53CE">
        <w:rPr>
          <w:bCs/>
        </w:rPr>
        <w:t>Uw</w:t>
      </w:r>
      <w:proofErr w:type="spellEnd"/>
      <w:r w:rsidR="00BC53CE">
        <w:rPr>
          <w:bCs/>
        </w:rPr>
        <w:t>=0,75 W/M2</w:t>
      </w:r>
      <w:r w:rsidR="00412A24">
        <w:rPr>
          <w:bCs/>
        </w:rPr>
        <w:t>. K</w:t>
      </w:r>
      <w:r w:rsidR="00E67FF5">
        <w:rPr>
          <w:bCs/>
        </w:rPr>
        <w:t xml:space="preserve"> </w:t>
      </w:r>
      <w:r w:rsidRPr="00E36C7B">
        <w:rPr>
          <w:bCs/>
        </w:rPr>
        <w:t xml:space="preserve"> </w:t>
      </w:r>
      <w:r>
        <w:rPr>
          <w:bCs/>
        </w:rPr>
        <w:t>,</w:t>
      </w:r>
    </w:p>
    <w:p w14:paraId="5170BBC6" w14:textId="2D8BC1A9" w:rsidR="001C62DC" w:rsidRDefault="001C62DC" w:rsidP="001C62DC">
      <w:pPr>
        <w:pStyle w:val="Akapitzlist"/>
        <w:widowControl/>
        <w:numPr>
          <w:ilvl w:val="0"/>
          <w:numId w:val="14"/>
        </w:numPr>
        <w:autoSpaceDE/>
        <w:autoSpaceDN/>
        <w:spacing w:line="300" w:lineRule="auto"/>
        <w:contextualSpacing/>
        <w:rPr>
          <w:bCs/>
        </w:rPr>
      </w:pPr>
      <w:r w:rsidRPr="00E36C7B">
        <w:rPr>
          <w:bCs/>
        </w:rPr>
        <w:t xml:space="preserve">okna połaciowe: </w:t>
      </w:r>
      <w:proofErr w:type="spellStart"/>
      <w:r w:rsidR="00671233">
        <w:rPr>
          <w:bCs/>
        </w:rPr>
        <w:t>F</w:t>
      </w:r>
      <w:r w:rsidR="00CD5A63">
        <w:rPr>
          <w:bCs/>
        </w:rPr>
        <w:t>a</w:t>
      </w:r>
      <w:r w:rsidR="00671233">
        <w:rPr>
          <w:bCs/>
        </w:rPr>
        <w:t>kro</w:t>
      </w:r>
      <w:proofErr w:type="spellEnd"/>
      <w:r>
        <w:rPr>
          <w:bCs/>
        </w:rPr>
        <w:t>,</w:t>
      </w:r>
    </w:p>
    <w:p w14:paraId="6CE08CE5" w14:textId="6030070F" w:rsidR="001C62DC" w:rsidRPr="00E36C7B" w:rsidRDefault="001C62DC" w:rsidP="001C62DC">
      <w:pPr>
        <w:pStyle w:val="Akapitzlist"/>
        <w:widowControl/>
        <w:numPr>
          <w:ilvl w:val="0"/>
          <w:numId w:val="14"/>
        </w:numPr>
        <w:autoSpaceDE/>
        <w:autoSpaceDN/>
        <w:spacing w:line="300" w:lineRule="auto"/>
        <w:contextualSpacing/>
        <w:rPr>
          <w:bCs/>
        </w:rPr>
      </w:pPr>
      <w:r w:rsidRPr="00E36C7B">
        <w:rPr>
          <w:bCs/>
        </w:rPr>
        <w:t xml:space="preserve">rynny i rury spustowe: PVC </w:t>
      </w:r>
      <w:r w:rsidR="00CD5A63">
        <w:rPr>
          <w:bCs/>
        </w:rPr>
        <w:t>Kaczmarczyk</w:t>
      </w:r>
    </w:p>
    <w:p w14:paraId="3AD18577" w14:textId="77777777" w:rsidR="00552332" w:rsidRPr="00552332" w:rsidRDefault="00552332" w:rsidP="00552332">
      <w:pPr>
        <w:tabs>
          <w:tab w:val="left" w:pos="3060"/>
        </w:tabs>
      </w:pPr>
    </w:p>
    <w:sectPr w:rsidR="00552332" w:rsidRPr="00552332" w:rsidSect="00861F37">
      <w:headerReference w:type="even" r:id="rId7"/>
      <w:headerReference w:type="default" r:id="rId8"/>
      <w:footerReference w:type="even" r:id="rId9"/>
      <w:footerReference w:type="default" r:id="rId10"/>
      <w:headerReference w:type="first" r:id="rId11"/>
      <w:footerReference w:type="first" r:id="rId12"/>
      <w:pgSz w:w="11906" w:h="16838"/>
      <w:pgMar w:top="1460" w:right="1018" w:bottom="1020" w:left="102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F3FD" w14:textId="77777777" w:rsidR="00C674A6" w:rsidRDefault="00C674A6">
      <w:pPr>
        <w:spacing w:after="0" w:line="240" w:lineRule="auto"/>
      </w:pPr>
      <w:r>
        <w:separator/>
      </w:r>
    </w:p>
  </w:endnote>
  <w:endnote w:type="continuationSeparator" w:id="0">
    <w:p w14:paraId="4F1D2CE5" w14:textId="77777777" w:rsidR="00C674A6" w:rsidRDefault="00C6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C73" w14:textId="74E3DD3A" w:rsidR="00861F37" w:rsidRPr="00861F37" w:rsidRDefault="00861F37" w:rsidP="00861F37">
    <w:pPr>
      <w:pStyle w:val="Stopka"/>
      <w:spacing w:line="200" w:lineRule="auto"/>
      <w:jc w:val="center"/>
      <w:rPr>
        <w:rFonts w:ascii="Garamond" w:hAnsi="Garamond"/>
        <w:i/>
      </w:rPr>
    </w:pPr>
    <w:r>
      <w:rPr>
        <w:rFonts w:ascii="Garamond" w:hAnsi="Garamond"/>
        <w:i/>
      </w:rPr>
      <w:fldChar w:fldCharType="begin"/>
    </w:r>
    <w:r>
      <w:rPr>
        <w:rFonts w:ascii="Garamond" w:hAnsi="Garamond"/>
        <w:i/>
      </w:rPr>
      <w:instrText xml:space="preserve"> PAGE  \* MERGEFORMAT </w:instrText>
    </w:r>
    <w:r>
      <w:rPr>
        <w:rFonts w:ascii="Garamond" w:hAnsi="Garamond"/>
        <w:i/>
      </w:rPr>
      <w:fldChar w:fldCharType="separate"/>
    </w:r>
    <w:r>
      <w:rPr>
        <w:rFonts w:ascii="Garamond" w:hAnsi="Garamond"/>
        <w:i/>
        <w:noProof/>
      </w:rPr>
      <w:t>13</w:t>
    </w:r>
    <w:r>
      <w:rPr>
        <w:rFonts w:ascii="Garamond" w:hAnsi="Garamond"/>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F6E" w14:textId="2BAD0A78" w:rsidR="00861F37" w:rsidRPr="00861F37" w:rsidRDefault="00861F37" w:rsidP="00861F37">
    <w:pPr>
      <w:pStyle w:val="Stopka"/>
      <w:spacing w:line="200" w:lineRule="auto"/>
      <w:jc w:val="center"/>
      <w:rPr>
        <w:rFonts w:ascii="Arial" w:hAnsi="Arial" w:cs="Arial"/>
        <w:i/>
      </w:rPr>
    </w:pPr>
    <w:r w:rsidRPr="00861F37">
      <w:rPr>
        <w:rFonts w:ascii="Arial" w:hAnsi="Arial" w:cs="Arial"/>
        <w:i/>
      </w:rPr>
      <w:fldChar w:fldCharType="begin"/>
    </w:r>
    <w:r w:rsidRPr="00861F37">
      <w:rPr>
        <w:rFonts w:ascii="Arial" w:hAnsi="Arial" w:cs="Arial"/>
        <w:i/>
      </w:rPr>
      <w:instrText xml:space="preserve"> PAGE  \* MERGEFORMAT </w:instrText>
    </w:r>
    <w:r w:rsidRPr="00861F37">
      <w:rPr>
        <w:rFonts w:ascii="Arial" w:hAnsi="Arial" w:cs="Arial"/>
        <w:i/>
      </w:rPr>
      <w:fldChar w:fldCharType="separate"/>
    </w:r>
    <w:r w:rsidRPr="00861F37">
      <w:rPr>
        <w:rFonts w:ascii="Arial" w:hAnsi="Arial" w:cs="Arial"/>
        <w:i/>
        <w:noProof/>
      </w:rPr>
      <w:t>13</w:t>
    </w:r>
    <w:r w:rsidRPr="00861F37">
      <w:rPr>
        <w:rFonts w:ascii="Arial" w:hAnsi="Arial" w:cs="Arial"/>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A0B7" w14:textId="5F6E69EA" w:rsidR="00861F37" w:rsidRPr="00861F37" w:rsidRDefault="00861F37" w:rsidP="00861F37">
    <w:pPr>
      <w:pStyle w:val="Stopka"/>
      <w:spacing w:line="200" w:lineRule="auto"/>
      <w:jc w:val="center"/>
      <w:rPr>
        <w:rFonts w:ascii="Garamond" w:hAnsi="Garamond"/>
        <w:i/>
      </w:rPr>
    </w:pPr>
    <w:r>
      <w:rPr>
        <w:rFonts w:ascii="Garamond" w:hAnsi="Garamond"/>
        <w:i/>
      </w:rPr>
      <w:fldChar w:fldCharType="begin"/>
    </w:r>
    <w:r>
      <w:rPr>
        <w:rFonts w:ascii="Garamond" w:hAnsi="Garamond"/>
        <w:i/>
      </w:rPr>
      <w:instrText xml:space="preserve"> PAGE  \* MERGEFORMAT </w:instrText>
    </w:r>
    <w:r>
      <w:rPr>
        <w:rFonts w:ascii="Garamond" w:hAnsi="Garamond"/>
        <w:i/>
      </w:rPr>
      <w:fldChar w:fldCharType="separate"/>
    </w:r>
    <w:r>
      <w:rPr>
        <w:rFonts w:ascii="Garamond" w:hAnsi="Garamond"/>
        <w:i/>
        <w:noProof/>
      </w:rPr>
      <w:t>13</w:t>
    </w:r>
    <w:r>
      <w:rPr>
        <w:rFonts w:ascii="Garamond" w:hAnsi="Garamond"/>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2BE3" w14:textId="77777777" w:rsidR="00C674A6" w:rsidRDefault="00C674A6">
      <w:pPr>
        <w:tabs>
          <w:tab w:val="center" w:pos="4426"/>
        </w:tabs>
        <w:spacing w:after="0"/>
      </w:pPr>
      <w:r>
        <w:separator/>
      </w:r>
    </w:p>
  </w:footnote>
  <w:footnote w:type="continuationSeparator" w:id="0">
    <w:p w14:paraId="45F13179" w14:textId="77777777" w:rsidR="00C674A6" w:rsidRDefault="00C674A6">
      <w:pPr>
        <w:tabs>
          <w:tab w:val="center" w:pos="4426"/>
        </w:tabs>
        <w:spacing w:after="0"/>
      </w:pPr>
      <w:r>
        <w:continuationSeparator/>
      </w:r>
    </w:p>
  </w:footnote>
  <w:footnote w:id="1">
    <w:p w14:paraId="2F582E07" w14:textId="77777777" w:rsidR="00B569C0" w:rsidRDefault="00861F37">
      <w:pPr>
        <w:pStyle w:val="footnotedescription"/>
        <w:tabs>
          <w:tab w:val="center" w:pos="4426"/>
        </w:tabs>
        <w:jc w:val="left"/>
      </w:pPr>
      <w:r>
        <w:rPr>
          <w:rStyle w:val="footnotemark"/>
        </w:rPr>
        <w:footnoteRef/>
      </w:r>
      <w:r>
        <w:t xml:space="preserve"> </w:t>
      </w:r>
      <w:r>
        <w:rPr>
          <w:vertAlign w:val="superscript"/>
        </w:rPr>
        <w:t>)</w:t>
      </w:r>
      <w:r>
        <w:t xml:space="preserve"> </w:t>
      </w:r>
      <w:r>
        <w:tab/>
        <w:t xml:space="preserve">W przypadku braku miejscowego planu zagospodarowania przestrzennego umieszcza się informację „Brak planu”. </w:t>
      </w:r>
    </w:p>
  </w:footnote>
  <w:footnote w:id="2">
    <w:p w14:paraId="64EA9B55" w14:textId="77777777" w:rsidR="00B569C0" w:rsidRDefault="00861F37">
      <w:pPr>
        <w:pStyle w:val="footnotedescription"/>
        <w:spacing w:line="322" w:lineRule="auto"/>
        <w:ind w:left="280" w:hanging="280"/>
      </w:pPr>
      <w:r>
        <w:rPr>
          <w:rStyle w:val="footnotemark"/>
        </w:rPr>
        <w:footnoteRef/>
      </w:r>
      <w:r>
        <w:t xml:space="preserve"> </w:t>
      </w:r>
      <w:r>
        <w:rPr>
          <w:vertAlign w:val="superscript"/>
        </w:rPr>
        <w:t>)</w:t>
      </w:r>
      <w: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3">
    <w:p w14:paraId="1755EF16" w14:textId="77777777" w:rsidR="000F1D2B" w:rsidRDefault="000F1D2B">
      <w:pPr>
        <w:pStyle w:val="footnotedescription"/>
      </w:pPr>
      <w:r>
        <w:rPr>
          <w:rStyle w:val="footnotemark"/>
        </w:rPr>
        <w:footnoteRef/>
      </w:r>
      <w:r>
        <w:t xml:space="preserve"> </w:t>
      </w:r>
      <w:r>
        <w:rPr>
          <w:vertAlign w:val="superscript"/>
        </w:rPr>
        <w:t>)</w:t>
      </w:r>
      <w:r>
        <w:t xml:space="preserve"> Sekcja w brzmieniu ustalonym przez art. 43 pkt 14 ustawy, o której mowa w odnośniku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D977" w14:textId="77777777" w:rsidR="00861F37" w:rsidRDefault="00861F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590F" w14:textId="77777777" w:rsidR="00861F37" w:rsidRDefault="00861F3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FE69" w14:textId="77777777" w:rsidR="00861F37" w:rsidRDefault="00861F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649"/>
    <w:multiLevelType w:val="hybridMultilevel"/>
    <w:tmpl w:val="BB82DC62"/>
    <w:lvl w:ilvl="0" w:tplc="290E415E">
      <w:start w:val="2"/>
      <w:numFmt w:val="upperRoman"/>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8402BE">
      <w:start w:val="1"/>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8624A2">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04039C">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D6EAA8">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F2BC50">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D25D70">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9E47C6">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C6A242">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BE16F3"/>
    <w:multiLevelType w:val="hybridMultilevel"/>
    <w:tmpl w:val="2BC0CE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B36EAB"/>
    <w:multiLevelType w:val="hybridMultilevel"/>
    <w:tmpl w:val="C6789298"/>
    <w:lvl w:ilvl="0" w:tplc="3AE8451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AC2AD6">
      <w:start w:val="1"/>
      <w:numFmt w:val="lowerLetter"/>
      <w:lvlText w:val="%2"/>
      <w:lvlJc w:val="left"/>
      <w:pPr>
        <w:ind w:left="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5CAD9A">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64F32E">
      <w:start w:val="1"/>
      <w:numFmt w:val="decimal"/>
      <w:lvlText w:val="%4"/>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38841E">
      <w:start w:val="1"/>
      <w:numFmt w:val="lowerLetter"/>
      <w:lvlText w:val="%5"/>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6AA8A2">
      <w:start w:val="1"/>
      <w:numFmt w:val="lowerRoman"/>
      <w:lvlText w:val="%6"/>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6E0A2">
      <w:start w:val="1"/>
      <w:numFmt w:val="decimal"/>
      <w:lvlText w:val="%7"/>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E0ED62">
      <w:start w:val="1"/>
      <w:numFmt w:val="lowerLetter"/>
      <w:lvlText w:val="%8"/>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FA6F0C">
      <w:start w:val="1"/>
      <w:numFmt w:val="lowerRoman"/>
      <w:lvlText w:val="%9"/>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A16F5D"/>
    <w:multiLevelType w:val="hybridMultilevel"/>
    <w:tmpl w:val="1E388F2A"/>
    <w:lvl w:ilvl="0" w:tplc="DA28F088">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5E72CE">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6C22F2">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0443AE">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2C653A">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CCE1E4">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FEDAC6">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0042C4">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38B826">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ED17A4"/>
    <w:multiLevelType w:val="hybridMultilevel"/>
    <w:tmpl w:val="E370CA8A"/>
    <w:lvl w:ilvl="0" w:tplc="0976667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8AB5317"/>
    <w:multiLevelType w:val="hybridMultilevel"/>
    <w:tmpl w:val="BDF843FA"/>
    <w:lvl w:ilvl="0" w:tplc="55BEC0B8">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2AAC1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F0B0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54C22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66F7A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46070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2292B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38A59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8E57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DD2208"/>
    <w:multiLevelType w:val="hybridMultilevel"/>
    <w:tmpl w:val="8946D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D4D1207"/>
    <w:multiLevelType w:val="hybridMultilevel"/>
    <w:tmpl w:val="8CB0B3CC"/>
    <w:lvl w:ilvl="0" w:tplc="30C08F9A">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E41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8EFC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F0D7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BC63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245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2665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54D5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42AB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AF22B3"/>
    <w:multiLevelType w:val="hybridMultilevel"/>
    <w:tmpl w:val="D850FB8C"/>
    <w:lvl w:ilvl="0" w:tplc="C0C258B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C0815C">
      <w:start w:val="5"/>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583852">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2940C">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BC6740">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8AFAF6">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6B1A0">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8C0122">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8C970C">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AE11BA"/>
    <w:multiLevelType w:val="hybridMultilevel"/>
    <w:tmpl w:val="985697E4"/>
    <w:lvl w:ilvl="0" w:tplc="915CFF3E">
      <w:start w:val="2"/>
      <w:numFmt w:val="decimal"/>
      <w:lvlText w:val="%1)"/>
      <w:lvlJc w:val="left"/>
      <w:pPr>
        <w:ind w:left="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2FEF3C0">
      <w:start w:val="1"/>
      <w:numFmt w:val="decimal"/>
      <w:lvlText w:val="%2)"/>
      <w:lvlJc w:val="left"/>
      <w:pPr>
        <w:ind w:left="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627652">
      <w:start w:val="1"/>
      <w:numFmt w:val="lowerRoman"/>
      <w:lvlText w:val="%3"/>
      <w:lvlJc w:val="left"/>
      <w:pPr>
        <w:ind w:left="1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3165AF2">
      <w:start w:val="1"/>
      <w:numFmt w:val="decimal"/>
      <w:lvlText w:val="%4"/>
      <w:lvlJc w:val="left"/>
      <w:pPr>
        <w:ind w:left="2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8C06034">
      <w:start w:val="1"/>
      <w:numFmt w:val="lowerLetter"/>
      <w:lvlText w:val="%5"/>
      <w:lvlJc w:val="left"/>
      <w:pPr>
        <w:ind w:left="2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2C30DA">
      <w:start w:val="1"/>
      <w:numFmt w:val="lowerRoman"/>
      <w:lvlText w:val="%6"/>
      <w:lvlJc w:val="left"/>
      <w:pPr>
        <w:ind w:left="3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3342BD0">
      <w:start w:val="1"/>
      <w:numFmt w:val="decimal"/>
      <w:lvlText w:val="%7"/>
      <w:lvlJc w:val="left"/>
      <w:pPr>
        <w:ind w:left="4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E423848">
      <w:start w:val="1"/>
      <w:numFmt w:val="lowerLetter"/>
      <w:lvlText w:val="%8"/>
      <w:lvlJc w:val="left"/>
      <w:pPr>
        <w:ind w:left="4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25875A6">
      <w:start w:val="1"/>
      <w:numFmt w:val="lowerRoman"/>
      <w:lvlText w:val="%9"/>
      <w:lvlJc w:val="left"/>
      <w:pPr>
        <w:ind w:left="5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8201E61"/>
    <w:multiLevelType w:val="hybridMultilevel"/>
    <w:tmpl w:val="643CAE92"/>
    <w:lvl w:ilvl="0" w:tplc="B63497A0">
      <w:start w:val="1"/>
      <w:numFmt w:val="upperRoman"/>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1F41D42">
      <w:start w:val="1"/>
      <w:numFmt w:val="lowerLetter"/>
      <w:lvlText w:val="%2"/>
      <w:lvlJc w:val="left"/>
      <w:pPr>
        <w:ind w:left="1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414EEDC">
      <w:start w:val="1"/>
      <w:numFmt w:val="lowerRoman"/>
      <w:lvlText w:val="%3"/>
      <w:lvlJc w:val="left"/>
      <w:pPr>
        <w:ind w:left="2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47A9470">
      <w:start w:val="1"/>
      <w:numFmt w:val="decimal"/>
      <w:lvlText w:val="%4"/>
      <w:lvlJc w:val="left"/>
      <w:pPr>
        <w:ind w:left="2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84FD0">
      <w:start w:val="1"/>
      <w:numFmt w:val="lowerLetter"/>
      <w:lvlText w:val="%5"/>
      <w:lvlJc w:val="left"/>
      <w:pPr>
        <w:ind w:left="3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31C31B8">
      <w:start w:val="1"/>
      <w:numFmt w:val="lowerRoman"/>
      <w:lvlText w:val="%6"/>
      <w:lvlJc w:val="left"/>
      <w:pPr>
        <w:ind w:left="41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C16C028">
      <w:start w:val="1"/>
      <w:numFmt w:val="decimal"/>
      <w:lvlText w:val="%7"/>
      <w:lvlJc w:val="left"/>
      <w:pPr>
        <w:ind w:left="49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A129052">
      <w:start w:val="1"/>
      <w:numFmt w:val="lowerLetter"/>
      <w:lvlText w:val="%8"/>
      <w:lvlJc w:val="left"/>
      <w:pPr>
        <w:ind w:left="56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48EAD22">
      <w:start w:val="1"/>
      <w:numFmt w:val="lowerRoman"/>
      <w:lvlText w:val="%9"/>
      <w:lvlJc w:val="left"/>
      <w:pPr>
        <w:ind w:left="63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A75BE4"/>
    <w:multiLevelType w:val="hybridMultilevel"/>
    <w:tmpl w:val="F8F0BF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EA733D"/>
    <w:multiLevelType w:val="hybridMultilevel"/>
    <w:tmpl w:val="68F04570"/>
    <w:lvl w:ilvl="0" w:tplc="6226BD4A">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F008CA">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4A0994">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04E41A">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D2983A">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2835AA">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E6E0B2">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A6BE7E">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841A68">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340A66"/>
    <w:multiLevelType w:val="hybridMultilevel"/>
    <w:tmpl w:val="2F7629A2"/>
    <w:lvl w:ilvl="0" w:tplc="B2DC4C4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3C7B5C">
      <w:start w:val="1"/>
      <w:numFmt w:val="lowerLetter"/>
      <w:lvlText w:val="%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B47410">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32BAF4">
      <w:start w:val="1"/>
      <w:numFmt w:val="decimal"/>
      <w:lvlText w:val="%4"/>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1861D4">
      <w:start w:val="1"/>
      <w:numFmt w:val="lowerLetter"/>
      <w:lvlText w:val="%5"/>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ACC610">
      <w:start w:val="1"/>
      <w:numFmt w:val="lowerRoman"/>
      <w:lvlText w:val="%6"/>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1C8816">
      <w:start w:val="1"/>
      <w:numFmt w:val="decimal"/>
      <w:lvlText w:val="%7"/>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2C007A">
      <w:start w:val="1"/>
      <w:numFmt w:val="lowerLetter"/>
      <w:lvlText w:val="%8"/>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7E67E8">
      <w:start w:val="1"/>
      <w:numFmt w:val="lowerRoman"/>
      <w:lvlText w:val="%9"/>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08177626">
    <w:abstractNumId w:val="10"/>
  </w:num>
  <w:num w:numId="2" w16cid:durableId="1898125471">
    <w:abstractNumId w:val="9"/>
  </w:num>
  <w:num w:numId="3" w16cid:durableId="1376082162">
    <w:abstractNumId w:val="0"/>
  </w:num>
  <w:num w:numId="4" w16cid:durableId="351614028">
    <w:abstractNumId w:val="13"/>
  </w:num>
  <w:num w:numId="5" w16cid:durableId="959916282">
    <w:abstractNumId w:val="8"/>
  </w:num>
  <w:num w:numId="6" w16cid:durableId="1739211045">
    <w:abstractNumId w:val="2"/>
  </w:num>
  <w:num w:numId="7" w16cid:durableId="1917125172">
    <w:abstractNumId w:val="5"/>
  </w:num>
  <w:num w:numId="8" w16cid:durableId="825977828">
    <w:abstractNumId w:val="7"/>
  </w:num>
  <w:num w:numId="9" w16cid:durableId="1048458775">
    <w:abstractNumId w:val="3"/>
  </w:num>
  <w:num w:numId="10" w16cid:durableId="1938053448">
    <w:abstractNumId w:val="12"/>
  </w:num>
  <w:num w:numId="11" w16cid:durableId="179525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500039">
    <w:abstractNumId w:val="11"/>
  </w:num>
  <w:num w:numId="13" w16cid:durableId="490751663">
    <w:abstractNumId w:val="4"/>
  </w:num>
  <w:num w:numId="14" w16cid:durableId="276835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0192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C0"/>
    <w:rsid w:val="0004029A"/>
    <w:rsid w:val="000409C2"/>
    <w:rsid w:val="000639E2"/>
    <w:rsid w:val="0007385D"/>
    <w:rsid w:val="000745DC"/>
    <w:rsid w:val="00092DB1"/>
    <w:rsid w:val="000937A4"/>
    <w:rsid w:val="00093CC5"/>
    <w:rsid w:val="00095ECD"/>
    <w:rsid w:val="000A7D2F"/>
    <w:rsid w:val="000B11C3"/>
    <w:rsid w:val="000B1762"/>
    <w:rsid w:val="000B68A5"/>
    <w:rsid w:val="000D5738"/>
    <w:rsid w:val="000D6D2F"/>
    <w:rsid w:val="000F1D2B"/>
    <w:rsid w:val="000F472F"/>
    <w:rsid w:val="000F67F0"/>
    <w:rsid w:val="001055CE"/>
    <w:rsid w:val="00117985"/>
    <w:rsid w:val="00124339"/>
    <w:rsid w:val="00141E93"/>
    <w:rsid w:val="001453ED"/>
    <w:rsid w:val="001458F3"/>
    <w:rsid w:val="00153F56"/>
    <w:rsid w:val="00195A5F"/>
    <w:rsid w:val="001A7A57"/>
    <w:rsid w:val="001B1FA3"/>
    <w:rsid w:val="001C4440"/>
    <w:rsid w:val="001C62DC"/>
    <w:rsid w:val="001D015C"/>
    <w:rsid w:val="001D7297"/>
    <w:rsid w:val="001E0385"/>
    <w:rsid w:val="001F27EB"/>
    <w:rsid w:val="001F74D5"/>
    <w:rsid w:val="00201A7D"/>
    <w:rsid w:val="00213558"/>
    <w:rsid w:val="00234894"/>
    <w:rsid w:val="00235AB4"/>
    <w:rsid w:val="002406F1"/>
    <w:rsid w:val="00240D08"/>
    <w:rsid w:val="00240D1B"/>
    <w:rsid w:val="00245916"/>
    <w:rsid w:val="00245CE0"/>
    <w:rsid w:val="00247940"/>
    <w:rsid w:val="00250BCF"/>
    <w:rsid w:val="00271CF3"/>
    <w:rsid w:val="00274BE9"/>
    <w:rsid w:val="002849D4"/>
    <w:rsid w:val="00284E86"/>
    <w:rsid w:val="00290078"/>
    <w:rsid w:val="002A34D6"/>
    <w:rsid w:val="002A76C0"/>
    <w:rsid w:val="002B00F5"/>
    <w:rsid w:val="002B483E"/>
    <w:rsid w:val="002C1ADF"/>
    <w:rsid w:val="002D50DB"/>
    <w:rsid w:val="002D58DB"/>
    <w:rsid w:val="002E22E7"/>
    <w:rsid w:val="002E4245"/>
    <w:rsid w:val="00304049"/>
    <w:rsid w:val="00307A2E"/>
    <w:rsid w:val="00311572"/>
    <w:rsid w:val="00311D10"/>
    <w:rsid w:val="00312EDD"/>
    <w:rsid w:val="003135AC"/>
    <w:rsid w:val="00323E01"/>
    <w:rsid w:val="00337CA1"/>
    <w:rsid w:val="0034189A"/>
    <w:rsid w:val="003528A3"/>
    <w:rsid w:val="0036322C"/>
    <w:rsid w:val="00364851"/>
    <w:rsid w:val="00365A4E"/>
    <w:rsid w:val="003B499F"/>
    <w:rsid w:val="003C1E10"/>
    <w:rsid w:val="003C2878"/>
    <w:rsid w:val="003C4EA5"/>
    <w:rsid w:val="003D52EE"/>
    <w:rsid w:val="003F0EFD"/>
    <w:rsid w:val="00401677"/>
    <w:rsid w:val="00406EC5"/>
    <w:rsid w:val="00407C29"/>
    <w:rsid w:val="00412A24"/>
    <w:rsid w:val="004153AF"/>
    <w:rsid w:val="00420DC9"/>
    <w:rsid w:val="00422425"/>
    <w:rsid w:val="00432DBE"/>
    <w:rsid w:val="004561EB"/>
    <w:rsid w:val="0047421A"/>
    <w:rsid w:val="004817FE"/>
    <w:rsid w:val="00487981"/>
    <w:rsid w:val="00495B1D"/>
    <w:rsid w:val="004A244D"/>
    <w:rsid w:val="004B0B17"/>
    <w:rsid w:val="004C7A36"/>
    <w:rsid w:val="004D0450"/>
    <w:rsid w:val="004D295B"/>
    <w:rsid w:val="004E0B67"/>
    <w:rsid w:val="004E2F6B"/>
    <w:rsid w:val="00506512"/>
    <w:rsid w:val="00507823"/>
    <w:rsid w:val="00513716"/>
    <w:rsid w:val="00547024"/>
    <w:rsid w:val="00552332"/>
    <w:rsid w:val="0055290A"/>
    <w:rsid w:val="005539E1"/>
    <w:rsid w:val="00575B25"/>
    <w:rsid w:val="00581423"/>
    <w:rsid w:val="00596977"/>
    <w:rsid w:val="005A079B"/>
    <w:rsid w:val="005C3C95"/>
    <w:rsid w:val="005D6058"/>
    <w:rsid w:val="005F12E0"/>
    <w:rsid w:val="00600746"/>
    <w:rsid w:val="00620D43"/>
    <w:rsid w:val="00646210"/>
    <w:rsid w:val="00650C49"/>
    <w:rsid w:val="00651702"/>
    <w:rsid w:val="00655AB1"/>
    <w:rsid w:val="00657E6B"/>
    <w:rsid w:val="00671233"/>
    <w:rsid w:val="0067299D"/>
    <w:rsid w:val="00685400"/>
    <w:rsid w:val="00697E94"/>
    <w:rsid w:val="006D69F3"/>
    <w:rsid w:val="006F0124"/>
    <w:rsid w:val="006F4F57"/>
    <w:rsid w:val="00704F94"/>
    <w:rsid w:val="00705887"/>
    <w:rsid w:val="007316B2"/>
    <w:rsid w:val="00735CB6"/>
    <w:rsid w:val="00750B8E"/>
    <w:rsid w:val="007552C0"/>
    <w:rsid w:val="007576F0"/>
    <w:rsid w:val="00757FB3"/>
    <w:rsid w:val="007811E6"/>
    <w:rsid w:val="00781C28"/>
    <w:rsid w:val="00785C6D"/>
    <w:rsid w:val="0079006A"/>
    <w:rsid w:val="00795BA4"/>
    <w:rsid w:val="007A744A"/>
    <w:rsid w:val="007C2673"/>
    <w:rsid w:val="007D093A"/>
    <w:rsid w:val="00817D3C"/>
    <w:rsid w:val="008203FF"/>
    <w:rsid w:val="00842DCC"/>
    <w:rsid w:val="0084586C"/>
    <w:rsid w:val="00861F37"/>
    <w:rsid w:val="00862E7F"/>
    <w:rsid w:val="00864DDC"/>
    <w:rsid w:val="0088500E"/>
    <w:rsid w:val="008949E5"/>
    <w:rsid w:val="008A479E"/>
    <w:rsid w:val="008A542E"/>
    <w:rsid w:val="008A5AC4"/>
    <w:rsid w:val="008C0D39"/>
    <w:rsid w:val="008C17CC"/>
    <w:rsid w:val="008E06EC"/>
    <w:rsid w:val="00916270"/>
    <w:rsid w:val="00923B4B"/>
    <w:rsid w:val="0092476C"/>
    <w:rsid w:val="009270AE"/>
    <w:rsid w:val="00934049"/>
    <w:rsid w:val="00944561"/>
    <w:rsid w:val="0095454E"/>
    <w:rsid w:val="0095481B"/>
    <w:rsid w:val="0096434C"/>
    <w:rsid w:val="00965C67"/>
    <w:rsid w:val="0097072D"/>
    <w:rsid w:val="00974226"/>
    <w:rsid w:val="009863B3"/>
    <w:rsid w:val="00993F20"/>
    <w:rsid w:val="0099582C"/>
    <w:rsid w:val="009A04B4"/>
    <w:rsid w:val="009A21A3"/>
    <w:rsid w:val="009D0D79"/>
    <w:rsid w:val="009D44D7"/>
    <w:rsid w:val="009D77A1"/>
    <w:rsid w:val="009F5CFA"/>
    <w:rsid w:val="009F76DD"/>
    <w:rsid w:val="00A048B8"/>
    <w:rsid w:val="00A059E0"/>
    <w:rsid w:val="00A10392"/>
    <w:rsid w:val="00A212A9"/>
    <w:rsid w:val="00A2388B"/>
    <w:rsid w:val="00A2583C"/>
    <w:rsid w:val="00A300C6"/>
    <w:rsid w:val="00A77702"/>
    <w:rsid w:val="00A77BBD"/>
    <w:rsid w:val="00A80914"/>
    <w:rsid w:val="00A86B32"/>
    <w:rsid w:val="00AA04CD"/>
    <w:rsid w:val="00AA0DB0"/>
    <w:rsid w:val="00AA36FD"/>
    <w:rsid w:val="00AB1D5F"/>
    <w:rsid w:val="00AE0BC7"/>
    <w:rsid w:val="00AE4162"/>
    <w:rsid w:val="00B1165F"/>
    <w:rsid w:val="00B12117"/>
    <w:rsid w:val="00B13928"/>
    <w:rsid w:val="00B15A93"/>
    <w:rsid w:val="00B204CA"/>
    <w:rsid w:val="00B22451"/>
    <w:rsid w:val="00B23A81"/>
    <w:rsid w:val="00B311B9"/>
    <w:rsid w:val="00B3238F"/>
    <w:rsid w:val="00B35724"/>
    <w:rsid w:val="00B44C52"/>
    <w:rsid w:val="00B569C0"/>
    <w:rsid w:val="00B76D7A"/>
    <w:rsid w:val="00B84F57"/>
    <w:rsid w:val="00B90023"/>
    <w:rsid w:val="00BC3137"/>
    <w:rsid w:val="00BC53CE"/>
    <w:rsid w:val="00BE2C63"/>
    <w:rsid w:val="00C05567"/>
    <w:rsid w:val="00C07668"/>
    <w:rsid w:val="00C3432E"/>
    <w:rsid w:val="00C36224"/>
    <w:rsid w:val="00C41F55"/>
    <w:rsid w:val="00C455DE"/>
    <w:rsid w:val="00C61AAD"/>
    <w:rsid w:val="00C674A6"/>
    <w:rsid w:val="00C74111"/>
    <w:rsid w:val="00C76277"/>
    <w:rsid w:val="00C86AA3"/>
    <w:rsid w:val="00C9483F"/>
    <w:rsid w:val="00CA4429"/>
    <w:rsid w:val="00CB68BF"/>
    <w:rsid w:val="00CC0CAC"/>
    <w:rsid w:val="00CD5A63"/>
    <w:rsid w:val="00CD7372"/>
    <w:rsid w:val="00CF3C37"/>
    <w:rsid w:val="00D004A8"/>
    <w:rsid w:val="00D0256B"/>
    <w:rsid w:val="00D078DE"/>
    <w:rsid w:val="00D2339C"/>
    <w:rsid w:val="00D36782"/>
    <w:rsid w:val="00D44B25"/>
    <w:rsid w:val="00D44F60"/>
    <w:rsid w:val="00D533FB"/>
    <w:rsid w:val="00D539B8"/>
    <w:rsid w:val="00D81E0A"/>
    <w:rsid w:val="00D972C1"/>
    <w:rsid w:val="00DD46A3"/>
    <w:rsid w:val="00DD76B3"/>
    <w:rsid w:val="00E01FEB"/>
    <w:rsid w:val="00E02C72"/>
    <w:rsid w:val="00E12584"/>
    <w:rsid w:val="00E1460D"/>
    <w:rsid w:val="00E163FF"/>
    <w:rsid w:val="00E34480"/>
    <w:rsid w:val="00E67FF5"/>
    <w:rsid w:val="00E8269E"/>
    <w:rsid w:val="00EA37E8"/>
    <w:rsid w:val="00EA59D6"/>
    <w:rsid w:val="00EC2D74"/>
    <w:rsid w:val="00ED14E9"/>
    <w:rsid w:val="00ED590D"/>
    <w:rsid w:val="00ED6964"/>
    <w:rsid w:val="00EE2978"/>
    <w:rsid w:val="00F10361"/>
    <w:rsid w:val="00F11704"/>
    <w:rsid w:val="00F11C3C"/>
    <w:rsid w:val="00F26E94"/>
    <w:rsid w:val="00F63A32"/>
    <w:rsid w:val="00F82314"/>
    <w:rsid w:val="00F83243"/>
    <w:rsid w:val="00F84711"/>
    <w:rsid w:val="00F84863"/>
    <w:rsid w:val="00F9590B"/>
    <w:rsid w:val="00F95A39"/>
    <w:rsid w:val="00FA2EB4"/>
    <w:rsid w:val="00FD1679"/>
    <w:rsid w:val="00FD5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A189"/>
  <w15:docId w15:val="{471EB78D-CCD8-456D-9D6E-9E4DD866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pPr>
      <w:spacing w:after="0" w:line="259"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61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1F37"/>
    <w:rPr>
      <w:rFonts w:ascii="Calibri" w:eastAsia="Calibri" w:hAnsi="Calibri" w:cs="Calibri"/>
      <w:color w:val="000000"/>
      <w:sz w:val="22"/>
    </w:rPr>
  </w:style>
  <w:style w:type="paragraph" w:styleId="Stopka">
    <w:name w:val="footer"/>
    <w:basedOn w:val="Normalny"/>
    <w:link w:val="StopkaZnak"/>
    <w:uiPriority w:val="99"/>
    <w:unhideWhenUsed/>
    <w:rsid w:val="00861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1F37"/>
    <w:rPr>
      <w:rFonts w:ascii="Calibri" w:eastAsia="Calibri" w:hAnsi="Calibri" w:cs="Calibri"/>
      <w:color w:val="000000"/>
      <w:sz w:val="22"/>
    </w:rPr>
  </w:style>
  <w:style w:type="paragraph" w:customStyle="1" w:styleId="TableParagraph">
    <w:name w:val="Table Paragraph"/>
    <w:basedOn w:val="Normalny"/>
    <w:uiPriority w:val="1"/>
    <w:qFormat/>
    <w:rsid w:val="000A7D2F"/>
    <w:pPr>
      <w:widowControl w:val="0"/>
      <w:autoSpaceDE w:val="0"/>
      <w:autoSpaceDN w:val="0"/>
      <w:spacing w:after="0" w:line="240" w:lineRule="auto"/>
    </w:pPr>
    <w:rPr>
      <w:rFonts w:ascii="Times New Roman" w:eastAsia="Times New Roman" w:hAnsi="Times New Roman" w:cs="Times New Roman"/>
      <w:color w:val="auto"/>
      <w:kern w:val="0"/>
      <w:szCs w:val="22"/>
      <w:lang w:eastAsia="en-US"/>
      <w14:ligatures w14:val="none"/>
    </w:rPr>
  </w:style>
  <w:style w:type="paragraph" w:styleId="Bezodstpw">
    <w:name w:val="No Spacing"/>
    <w:uiPriority w:val="1"/>
    <w:qFormat/>
    <w:rsid w:val="009F76DD"/>
    <w:pPr>
      <w:spacing w:after="0" w:line="240" w:lineRule="auto"/>
    </w:pPr>
    <w:rPr>
      <w:rFonts w:ascii="Calibri" w:eastAsia="Calibri" w:hAnsi="Calibri" w:cs="Calibri"/>
      <w:color w:val="000000"/>
      <w:sz w:val="22"/>
    </w:rPr>
  </w:style>
  <w:style w:type="paragraph" w:styleId="NormalnyWeb">
    <w:name w:val="Normal (Web)"/>
    <w:basedOn w:val="Normalny"/>
    <w:uiPriority w:val="99"/>
    <w:unhideWhenUsed/>
    <w:rsid w:val="000F1D2B"/>
    <w:pPr>
      <w:spacing w:before="100" w:beforeAutospacing="1" w:after="100" w:afterAutospacing="1" w:line="240" w:lineRule="auto"/>
    </w:pPr>
    <w:rPr>
      <w:rFonts w:ascii="Times New Roman" w:hAnsi="Times New Roman" w:cs="Times New Roman"/>
      <w:color w:val="auto"/>
      <w:kern w:val="0"/>
      <w:sz w:val="24"/>
      <w14:ligatures w14:val="none"/>
    </w:rPr>
  </w:style>
  <w:style w:type="paragraph" w:styleId="Tekstpodstawowy">
    <w:name w:val="Body Text"/>
    <w:basedOn w:val="Normalny"/>
    <w:link w:val="TekstpodstawowyZnak"/>
    <w:uiPriority w:val="1"/>
    <w:qFormat/>
    <w:rsid w:val="001C62DC"/>
    <w:pPr>
      <w:widowControl w:val="0"/>
      <w:autoSpaceDE w:val="0"/>
      <w:autoSpaceDN w:val="0"/>
      <w:spacing w:after="0" w:line="240" w:lineRule="auto"/>
    </w:pPr>
    <w:rPr>
      <w:rFonts w:ascii="Times New Roman" w:eastAsia="Times New Roman" w:hAnsi="Times New Roman" w:cs="Times New Roman"/>
      <w:color w:val="auto"/>
      <w:kern w:val="0"/>
      <w:sz w:val="20"/>
      <w:szCs w:val="20"/>
      <w:lang w:eastAsia="en-US"/>
      <w14:ligatures w14:val="none"/>
    </w:rPr>
  </w:style>
  <w:style w:type="character" w:customStyle="1" w:styleId="TekstpodstawowyZnak">
    <w:name w:val="Tekst podstawowy Znak"/>
    <w:basedOn w:val="Domylnaczcionkaakapitu"/>
    <w:link w:val="Tekstpodstawowy"/>
    <w:uiPriority w:val="1"/>
    <w:rsid w:val="001C62DC"/>
    <w:rPr>
      <w:rFonts w:ascii="Times New Roman" w:eastAsia="Times New Roman" w:hAnsi="Times New Roman" w:cs="Times New Roman"/>
      <w:kern w:val="0"/>
      <w:sz w:val="20"/>
      <w:szCs w:val="20"/>
      <w:lang w:eastAsia="en-US"/>
      <w14:ligatures w14:val="none"/>
    </w:rPr>
  </w:style>
  <w:style w:type="paragraph" w:styleId="Akapitzlist">
    <w:name w:val="List Paragraph"/>
    <w:basedOn w:val="Normalny"/>
    <w:uiPriority w:val="34"/>
    <w:qFormat/>
    <w:rsid w:val="001C62DC"/>
    <w:pPr>
      <w:widowControl w:val="0"/>
      <w:autoSpaceDE w:val="0"/>
      <w:autoSpaceDN w:val="0"/>
      <w:spacing w:after="0" w:line="240" w:lineRule="auto"/>
      <w:ind w:left="786" w:hanging="284"/>
      <w:jc w:val="both"/>
    </w:pPr>
    <w:rPr>
      <w:rFonts w:ascii="Times New Roman" w:eastAsia="Times New Roman" w:hAnsi="Times New Roman" w:cs="Times New Roman"/>
      <w:color w:val="aut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9434">
      <w:bodyDiv w:val="1"/>
      <w:marLeft w:val="0"/>
      <w:marRight w:val="0"/>
      <w:marTop w:val="0"/>
      <w:marBottom w:val="0"/>
      <w:divBdr>
        <w:top w:val="none" w:sz="0" w:space="0" w:color="auto"/>
        <w:left w:val="none" w:sz="0" w:space="0" w:color="auto"/>
        <w:bottom w:val="none" w:sz="0" w:space="0" w:color="auto"/>
        <w:right w:val="none" w:sz="0" w:space="0" w:color="auto"/>
      </w:divBdr>
    </w:div>
    <w:div w:id="509299046">
      <w:bodyDiv w:val="1"/>
      <w:marLeft w:val="0"/>
      <w:marRight w:val="0"/>
      <w:marTop w:val="0"/>
      <w:marBottom w:val="0"/>
      <w:divBdr>
        <w:top w:val="none" w:sz="0" w:space="0" w:color="auto"/>
        <w:left w:val="none" w:sz="0" w:space="0" w:color="auto"/>
        <w:bottom w:val="none" w:sz="0" w:space="0" w:color="auto"/>
        <w:right w:val="none" w:sz="0" w:space="0" w:color="auto"/>
      </w:divBdr>
    </w:div>
    <w:div w:id="212306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18</Pages>
  <Words>4732</Words>
  <Characters>28395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Dorota Kowalczyk</cp:lastModifiedBy>
  <cp:revision>8</cp:revision>
  <cp:lastPrinted>2025-06-17T13:12:00Z</cp:lastPrinted>
  <dcterms:created xsi:type="dcterms:W3CDTF">2025-07-01T07:54:00Z</dcterms:created>
  <dcterms:modified xsi:type="dcterms:W3CDTF">2025-07-04T08:03:00Z</dcterms:modified>
</cp:coreProperties>
</file>